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D9111" w14:textId="77777777" w:rsidR="00D479DE" w:rsidRPr="00846C6B" w:rsidRDefault="00D479DE" w:rsidP="00D479DE">
      <w:pPr>
        <w:tabs>
          <w:tab w:val="center" w:pos="4513"/>
          <w:tab w:val="right" w:pos="9026"/>
        </w:tabs>
        <w:spacing w:after="0" w:line="520" w:lineRule="exact"/>
        <w:contextualSpacing/>
        <w:rPr>
          <w:rFonts w:ascii="Arial" w:eastAsia="Calibri" w:hAnsi="Arial" w:cs="Arial"/>
          <w:b/>
          <w:bCs/>
          <w:noProof/>
          <w:color w:val="C40005"/>
          <w:spacing w:val="-2"/>
          <w:sz w:val="48"/>
          <w:szCs w:val="56"/>
          <w:lang w:eastAsia="en-GB"/>
        </w:rPr>
      </w:pPr>
    </w:p>
    <w:p w14:paraId="1A4320E1" w14:textId="77777777" w:rsidR="00D479DE" w:rsidRPr="00846C6B" w:rsidRDefault="00D479DE" w:rsidP="00D479DE">
      <w:pPr>
        <w:tabs>
          <w:tab w:val="center" w:pos="4513"/>
          <w:tab w:val="right" w:pos="9026"/>
        </w:tabs>
        <w:spacing w:before="1040" w:after="0" w:line="520" w:lineRule="exact"/>
        <w:contextualSpacing/>
        <w:rPr>
          <w:rFonts w:ascii="Arial" w:eastAsia="Calibri" w:hAnsi="Arial" w:cs="Arial"/>
          <w:b/>
          <w:bCs/>
          <w:noProof/>
          <w:spacing w:val="-2"/>
          <w:sz w:val="56"/>
          <w:szCs w:val="56"/>
          <w:lang w:eastAsia="en-GB"/>
        </w:rPr>
      </w:pPr>
      <w:r w:rsidRPr="00846C6B">
        <w:rPr>
          <w:rFonts w:ascii="Arial" w:eastAsia="Calibri" w:hAnsi="Arial" w:cs="Arial"/>
          <w:b/>
          <w:bCs/>
          <w:noProof/>
          <w:spacing w:val="-2"/>
          <w:sz w:val="56"/>
          <w:szCs w:val="56"/>
          <w:lang w:eastAsia="en-GB"/>
        </w:rPr>
        <w:t>PRESS RELEASE</w:t>
      </w:r>
    </w:p>
    <w:p w14:paraId="1C511A34" w14:textId="7B905EF0" w:rsidR="00FA63C3" w:rsidRPr="00846C6B" w:rsidRDefault="00777F1A" w:rsidP="00FA63C3">
      <w:pPr>
        <w:spacing w:after="120" w:line="240" w:lineRule="auto"/>
        <w:rPr>
          <w:rFonts w:ascii="Arial" w:eastAsia="SimSun" w:hAnsi="Arial" w:cs="Arial"/>
          <w:b/>
          <w:bCs/>
          <w:sz w:val="24"/>
        </w:rPr>
      </w:pPr>
      <w:r w:rsidRPr="00AF5948">
        <w:rPr>
          <w:rFonts w:ascii="Arial" w:eastAsia="SimSun" w:hAnsi="Arial" w:cs="Arial"/>
          <w:b/>
          <w:bCs/>
          <w:sz w:val="24"/>
        </w:rPr>
        <w:t>09</w:t>
      </w:r>
      <w:r w:rsidR="00FA63C3" w:rsidRPr="00AF5948">
        <w:rPr>
          <w:rFonts w:ascii="Arial" w:eastAsia="SimSun" w:hAnsi="Arial" w:cs="Arial"/>
          <w:b/>
          <w:bCs/>
          <w:sz w:val="24"/>
        </w:rPr>
        <w:t xml:space="preserve">:00 BST, </w:t>
      </w:r>
      <w:r w:rsidRPr="00AF5948">
        <w:rPr>
          <w:rFonts w:ascii="Arial" w:eastAsia="SimSun" w:hAnsi="Arial" w:cs="Arial"/>
          <w:b/>
          <w:bCs/>
          <w:sz w:val="24"/>
        </w:rPr>
        <w:t>20</w:t>
      </w:r>
      <w:r w:rsidR="00FA63C3" w:rsidRPr="00AF5948">
        <w:rPr>
          <w:rFonts w:ascii="Arial" w:eastAsia="SimSun" w:hAnsi="Arial" w:cs="Arial"/>
          <w:b/>
          <w:bCs/>
          <w:sz w:val="24"/>
          <w:vertAlign w:val="superscript"/>
        </w:rPr>
        <w:t>th</w:t>
      </w:r>
      <w:r w:rsidR="00FA63C3" w:rsidRPr="00AF5948">
        <w:rPr>
          <w:rFonts w:ascii="Arial" w:eastAsia="SimSun" w:hAnsi="Arial" w:cs="Arial"/>
          <w:b/>
          <w:bCs/>
          <w:sz w:val="24"/>
        </w:rPr>
        <w:t xml:space="preserve"> </w:t>
      </w:r>
      <w:r w:rsidR="00EC567A" w:rsidRPr="00AF5948">
        <w:rPr>
          <w:rFonts w:ascii="Arial" w:eastAsia="SimSun" w:hAnsi="Arial" w:cs="Arial"/>
          <w:b/>
          <w:bCs/>
          <w:sz w:val="24"/>
        </w:rPr>
        <w:t>August</w:t>
      </w:r>
      <w:r w:rsidR="00FA63C3" w:rsidRPr="00AF5948">
        <w:rPr>
          <w:rFonts w:ascii="Arial" w:eastAsia="SimSun" w:hAnsi="Arial" w:cs="Arial"/>
          <w:b/>
          <w:bCs/>
          <w:sz w:val="24"/>
        </w:rPr>
        <w:t xml:space="preserve"> 2015</w:t>
      </w:r>
      <w:bookmarkStart w:id="0" w:name="_GoBack"/>
      <w:bookmarkEnd w:id="0"/>
    </w:p>
    <w:p w14:paraId="6E66F4C9" w14:textId="77777777" w:rsidR="00FA63C3" w:rsidRPr="00846C6B" w:rsidRDefault="00FA63C3" w:rsidP="00FA63C3">
      <w:pPr>
        <w:spacing w:after="120" w:line="240" w:lineRule="auto"/>
        <w:rPr>
          <w:rFonts w:ascii="Arial" w:eastAsia="SimSun" w:hAnsi="Arial" w:cs="Arial"/>
          <w:b/>
          <w:bCs/>
          <w:sz w:val="24"/>
        </w:rPr>
      </w:pPr>
      <w:r w:rsidRPr="00846C6B">
        <w:rPr>
          <w:rFonts w:ascii="Arial" w:eastAsia="SimSun" w:hAnsi="Arial" w:cs="Arial"/>
          <w:b/>
          <w:bCs/>
          <w:sz w:val="24"/>
        </w:rPr>
        <w:t>London, UK</w:t>
      </w:r>
    </w:p>
    <w:p w14:paraId="7EC9B030" w14:textId="77777777" w:rsidR="00FA63C3" w:rsidRPr="00846C6B" w:rsidRDefault="00FA63C3" w:rsidP="00FA63C3">
      <w:pPr>
        <w:spacing w:after="120" w:line="240" w:lineRule="auto"/>
        <w:rPr>
          <w:rFonts w:ascii="Arial" w:eastAsia="SimSun" w:hAnsi="Arial" w:cs="Arial"/>
          <w:b/>
          <w:bCs/>
          <w:sz w:val="24"/>
        </w:rPr>
      </w:pPr>
    </w:p>
    <w:p w14:paraId="1A79144E" w14:textId="77777777" w:rsidR="001957EA" w:rsidRPr="00846C6B" w:rsidRDefault="001957EA" w:rsidP="00D479DE">
      <w:pPr>
        <w:tabs>
          <w:tab w:val="center" w:pos="4513"/>
          <w:tab w:val="right" w:pos="9026"/>
        </w:tabs>
        <w:spacing w:after="0" w:line="520" w:lineRule="exact"/>
        <w:contextualSpacing/>
        <w:rPr>
          <w:rFonts w:ascii="Arial" w:eastAsia="Calibri" w:hAnsi="Arial" w:cs="Arial"/>
          <w:b/>
          <w:bCs/>
          <w:noProof/>
          <w:color w:val="C40005"/>
          <w:spacing w:val="-2"/>
          <w:sz w:val="48"/>
          <w:szCs w:val="56"/>
          <w:lang w:eastAsia="en-GB"/>
        </w:rPr>
      </w:pPr>
    </w:p>
    <w:p w14:paraId="320CB959" w14:textId="52CD76A5" w:rsidR="00D7588D" w:rsidRPr="00846C6B" w:rsidRDefault="006221E2" w:rsidP="00D7588D">
      <w:pPr>
        <w:rPr>
          <w:rFonts w:ascii="Arial" w:hAnsi="Arial" w:cs="Arial"/>
          <w:b/>
          <w:bCs/>
          <w:color w:val="C00000"/>
          <w:kern w:val="28"/>
          <w:sz w:val="40"/>
        </w:rPr>
      </w:pPr>
      <w:r>
        <w:rPr>
          <w:rFonts w:ascii="Arial" w:hAnsi="Arial" w:cs="Arial"/>
          <w:b/>
          <w:bCs/>
          <w:color w:val="C00000"/>
          <w:kern w:val="28"/>
          <w:sz w:val="36"/>
        </w:rPr>
        <w:br/>
      </w:r>
      <w:r w:rsidR="00845C83">
        <w:rPr>
          <w:rFonts w:ascii="Arial" w:hAnsi="Arial" w:cs="Arial"/>
          <w:b/>
          <w:bCs/>
          <w:color w:val="C00000"/>
          <w:kern w:val="28"/>
          <w:sz w:val="36"/>
        </w:rPr>
        <w:t>EUROPE’S NEW</w:t>
      </w:r>
      <w:r w:rsidR="00777F1A">
        <w:rPr>
          <w:rFonts w:ascii="Arial" w:hAnsi="Arial" w:cs="Arial"/>
          <w:b/>
          <w:bCs/>
          <w:color w:val="C00000"/>
          <w:kern w:val="28"/>
          <w:sz w:val="36"/>
        </w:rPr>
        <w:t>-</w:t>
      </w:r>
      <w:r w:rsidR="00845C83">
        <w:rPr>
          <w:rFonts w:ascii="Arial" w:hAnsi="Arial" w:cs="Arial"/>
          <w:b/>
          <w:bCs/>
          <w:color w:val="C00000"/>
          <w:kern w:val="28"/>
          <w:sz w:val="36"/>
        </w:rPr>
        <w:t xml:space="preserve">CAR MARKET </w:t>
      </w:r>
      <w:r w:rsidR="00D7588D" w:rsidRPr="00846C6B">
        <w:rPr>
          <w:rFonts w:ascii="Arial" w:hAnsi="Arial" w:cs="Arial"/>
          <w:noProof/>
          <w:sz w:val="3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3AFC92" wp14:editId="00F865D4">
                <wp:simplePos x="0" y="0"/>
                <wp:positionH relativeFrom="page">
                  <wp:posOffset>555361</wp:posOffset>
                </wp:positionH>
                <wp:positionV relativeFrom="page">
                  <wp:posOffset>2658110</wp:posOffset>
                </wp:positionV>
                <wp:extent cx="669607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3.75pt;margin-top:209.3pt;width:52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GoLgIAAF8EAAAOAAAAZHJzL2Uyb0RvYy54bWysVE2P2jAQvVfqf7B8hyQ0sBARVqsEetl2&#10;kXb7A4ztEKuObdmGgKr+944dQEt7qapenLE98958PGf5eOokOnLrhFYlzsYpRlxRzYTal/jb22Y0&#10;x8h5ohiRWvESn7nDj6uPH5a9KfhEt1oybhGAKFf0psSt96ZIEkdb3hE31oYruGy07YiHrd0nzJIe&#10;0DuZTNJ0lvTaMmM15c7BaT1c4lXEbxpO/UvTOO6RLDHk5uNq47oLa7JakmJviWkFvaRB/iGLjggF&#10;pDeomniCDlb8AdUJarXTjR9T3SW6aQTlsQaoJkt/q+a1JYbHWqA5ztza5P4fLP163FokWIknGCnS&#10;wYieDl5HZpTloT+9cQW4VWprQ4X0pF7Ns6bfHVK6aona8+j9djYQnIWI5C4kbJwBll3/RTPwIUAQ&#10;m3VqbBcgoQ3oFGdyvs2EnzyicDibLWbpwxQjer1LSHENNNb5z1x3KBgldt4SsW99pZWCyWubRRpy&#10;fHY+pEWKa0BgVXojpIwCkAr1JV5MJ9MY4LQULFwGtyhFXkmLjgREtNsPoPLQQTXD2XyaplFKwHBz&#10;j3x3SFYfFIt8LSdsfbE9EXKwIVqqQAm1Q8YXa5DRj0W6WM/X83yUT2brUZ7W9ehpU+Wj2SZ7mNaf&#10;6qqqs58h+ywvWsEYV6GAq6Sz/O8kc3lcgxhvor51KrlHjyVCstdvTDoOP8x7UM5Os/PWXkUBKo7O&#10;lxcXnsn7Pdjv/wurXwAAAP//AwBQSwMEFAAGAAgAAAAhAIOVnvXgAAAACwEAAA8AAABkcnMvZG93&#10;bnJldi54bWxMj1FLwzAQx98Fv0M4wRfZ0s65ldp0iOCDCINNp3tMm7PpTC6lybr67c1A0Me7+/G/&#10;379YjdawAXvfOhKQThNgSLVTLTUC3l6fJhkwHyQpaRyhgG/0sCovLwqZK3eiDQ7b0LAYQj6XAnQI&#10;Xc65rzVa6aeuQ4q3T9dbGeLYN1z18hTDreGzJFlwK1uKH7Ts8FFj/bU9WgH4cbuvDvow3Mjn7J12&#10;y/XL3qyFuL4aH+6BBRzDHwxn/agOZXSq3JGUZ0ZAtryLpIB5mi2AnYF0Povtqt8VLwv+v0P5AwAA&#10;//8DAFBLAQItABQABgAIAAAAIQC2gziS/gAAAOEBAAATAAAAAAAAAAAAAAAAAAAAAABbQ29udGVu&#10;dF9UeXBlc10ueG1sUEsBAi0AFAAGAAgAAAAhADj9If/WAAAAlAEAAAsAAAAAAAAAAAAAAAAALwEA&#10;AF9yZWxzLy5yZWxzUEsBAi0AFAAGAAgAAAAhAOQpoaguAgAAXwQAAA4AAAAAAAAAAAAAAAAALgIA&#10;AGRycy9lMm9Eb2MueG1sUEsBAi0AFAAGAAgAAAAhAIOVnvXgAAAACwEAAA8AAAAAAAAAAAAAAAAA&#10;iAQAAGRycy9kb3ducmV2LnhtbFBLBQYAAAAABAAEAPMAAACVBQAAAAA=&#10;" strokecolor="#d8d8d8 [2732]">
                <w10:wrap anchorx="page" anchory="page"/>
              </v:shape>
            </w:pict>
          </mc:Fallback>
        </mc:AlternateContent>
      </w:r>
      <w:r w:rsidR="00EC567A">
        <w:rPr>
          <w:rFonts w:ascii="Arial" w:hAnsi="Arial" w:cs="Arial"/>
          <w:b/>
          <w:bCs/>
          <w:color w:val="C00000"/>
          <w:kern w:val="28"/>
          <w:sz w:val="36"/>
        </w:rPr>
        <w:t xml:space="preserve">CONTINUES </w:t>
      </w:r>
      <w:r w:rsidR="0045093E">
        <w:rPr>
          <w:rFonts w:ascii="Arial" w:hAnsi="Arial" w:cs="Arial"/>
          <w:b/>
          <w:bCs/>
          <w:color w:val="C00000"/>
          <w:kern w:val="28"/>
          <w:sz w:val="36"/>
        </w:rPr>
        <w:t xml:space="preserve">TO GROW DURING </w:t>
      </w:r>
      <w:r w:rsidR="00EC567A">
        <w:rPr>
          <w:rFonts w:ascii="Arial" w:hAnsi="Arial" w:cs="Arial"/>
          <w:b/>
          <w:bCs/>
          <w:color w:val="C00000"/>
          <w:kern w:val="28"/>
          <w:sz w:val="36"/>
        </w:rPr>
        <w:t>JULY</w:t>
      </w:r>
    </w:p>
    <w:p w14:paraId="2D2F49F9" w14:textId="6155C01A" w:rsidR="00845C83" w:rsidRPr="00845C83" w:rsidRDefault="00845C83" w:rsidP="00845C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</w:rPr>
      </w:pPr>
      <w:r w:rsidRPr="00845C83">
        <w:rPr>
          <w:rFonts w:ascii="Arial" w:hAnsi="Arial" w:cs="Arial"/>
          <w:b/>
          <w:sz w:val="24"/>
        </w:rPr>
        <w:t xml:space="preserve">European new-car sales grew </w:t>
      </w:r>
      <w:r w:rsidR="00777F1A">
        <w:rPr>
          <w:rFonts w:ascii="Arial" w:hAnsi="Arial" w:cs="Arial"/>
          <w:b/>
          <w:sz w:val="24"/>
        </w:rPr>
        <w:t xml:space="preserve">by </w:t>
      </w:r>
      <w:r w:rsidR="0044661D">
        <w:rPr>
          <w:rFonts w:ascii="Arial" w:hAnsi="Arial" w:cs="Arial"/>
          <w:b/>
          <w:sz w:val="24"/>
        </w:rPr>
        <w:t>9.1</w:t>
      </w:r>
      <w:r w:rsidRPr="00845C83">
        <w:rPr>
          <w:rFonts w:ascii="Arial" w:hAnsi="Arial" w:cs="Arial"/>
          <w:b/>
          <w:sz w:val="24"/>
        </w:rPr>
        <w:t xml:space="preserve">% in </w:t>
      </w:r>
      <w:r w:rsidR="00EC567A">
        <w:rPr>
          <w:rFonts w:ascii="Arial" w:hAnsi="Arial" w:cs="Arial"/>
          <w:b/>
          <w:sz w:val="24"/>
        </w:rPr>
        <w:t>July</w:t>
      </w:r>
      <w:r w:rsidRPr="00845C83">
        <w:rPr>
          <w:rFonts w:ascii="Arial" w:hAnsi="Arial" w:cs="Arial"/>
          <w:b/>
          <w:sz w:val="24"/>
        </w:rPr>
        <w:t xml:space="preserve">, </w:t>
      </w:r>
      <w:r w:rsidR="00EC567A">
        <w:rPr>
          <w:rFonts w:ascii="Arial" w:hAnsi="Arial" w:cs="Arial"/>
          <w:b/>
          <w:sz w:val="24"/>
        </w:rPr>
        <w:t>8</w:t>
      </w:r>
      <w:r w:rsidRPr="00845C83">
        <w:rPr>
          <w:rFonts w:ascii="Arial" w:hAnsi="Arial" w:cs="Arial"/>
          <w:b/>
          <w:sz w:val="24"/>
        </w:rPr>
        <w:t xml:space="preserve">.6% </w:t>
      </w:r>
      <w:r w:rsidR="00BA1570">
        <w:rPr>
          <w:rFonts w:ascii="Arial" w:hAnsi="Arial" w:cs="Arial"/>
          <w:b/>
          <w:sz w:val="24"/>
        </w:rPr>
        <w:t>y</w:t>
      </w:r>
      <w:r w:rsidR="00EC567A">
        <w:rPr>
          <w:rFonts w:ascii="Arial" w:hAnsi="Arial" w:cs="Arial"/>
          <w:b/>
          <w:sz w:val="24"/>
        </w:rPr>
        <w:t>ear-to-</w:t>
      </w:r>
      <w:r w:rsidR="00BA1570">
        <w:rPr>
          <w:rFonts w:ascii="Arial" w:hAnsi="Arial" w:cs="Arial"/>
          <w:b/>
          <w:sz w:val="24"/>
        </w:rPr>
        <w:t>d</w:t>
      </w:r>
      <w:r w:rsidR="00EC567A">
        <w:rPr>
          <w:rFonts w:ascii="Arial" w:hAnsi="Arial" w:cs="Arial"/>
          <w:b/>
          <w:sz w:val="24"/>
        </w:rPr>
        <w:t>ate</w:t>
      </w:r>
      <w:r w:rsidR="008C04FA">
        <w:rPr>
          <w:rFonts w:ascii="Arial" w:hAnsi="Arial" w:cs="Arial"/>
          <w:b/>
          <w:sz w:val="24"/>
        </w:rPr>
        <w:t xml:space="preserve"> </w:t>
      </w:r>
    </w:p>
    <w:p w14:paraId="0A35A99B" w14:textId="3E0EF233" w:rsidR="00845C83" w:rsidRPr="00C87D74" w:rsidRDefault="00EC567A" w:rsidP="00845C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</w:rPr>
      </w:pPr>
      <w:r w:rsidRPr="00C87D74">
        <w:rPr>
          <w:rFonts w:ascii="Arial" w:hAnsi="Arial" w:cs="Arial"/>
          <w:b/>
          <w:sz w:val="24"/>
        </w:rPr>
        <w:t xml:space="preserve">Volkswagen continues to lead the market, </w:t>
      </w:r>
      <w:r w:rsidR="00505032" w:rsidRPr="00C87D74">
        <w:rPr>
          <w:rFonts w:ascii="Arial" w:hAnsi="Arial" w:cs="Arial"/>
          <w:b/>
          <w:sz w:val="24"/>
        </w:rPr>
        <w:t xml:space="preserve">as the </w:t>
      </w:r>
      <w:r w:rsidRPr="00C87D74">
        <w:rPr>
          <w:rFonts w:ascii="Arial" w:hAnsi="Arial" w:cs="Arial"/>
          <w:b/>
          <w:sz w:val="24"/>
        </w:rPr>
        <w:t xml:space="preserve">Passat </w:t>
      </w:r>
      <w:r w:rsidR="00505032" w:rsidRPr="00C87D74">
        <w:rPr>
          <w:rFonts w:ascii="Arial" w:hAnsi="Arial" w:cs="Arial"/>
          <w:b/>
          <w:sz w:val="24"/>
        </w:rPr>
        <w:t>joins the Golf and Polo</w:t>
      </w:r>
      <w:r w:rsidRPr="00C87D74">
        <w:rPr>
          <w:rFonts w:ascii="Arial" w:hAnsi="Arial" w:cs="Arial"/>
          <w:b/>
          <w:sz w:val="24"/>
        </w:rPr>
        <w:t xml:space="preserve"> in </w:t>
      </w:r>
      <w:r w:rsidR="00505032" w:rsidRPr="00C87D74">
        <w:rPr>
          <w:rFonts w:ascii="Arial" w:hAnsi="Arial" w:cs="Arial"/>
          <w:b/>
          <w:sz w:val="24"/>
        </w:rPr>
        <w:t>the t</w:t>
      </w:r>
      <w:r w:rsidRPr="00C87D74">
        <w:rPr>
          <w:rFonts w:ascii="Arial" w:hAnsi="Arial" w:cs="Arial"/>
          <w:b/>
          <w:sz w:val="24"/>
        </w:rPr>
        <w:t xml:space="preserve">op </w:t>
      </w:r>
      <w:r w:rsidR="00505032" w:rsidRPr="00C87D74">
        <w:rPr>
          <w:rFonts w:ascii="Arial" w:hAnsi="Arial" w:cs="Arial"/>
          <w:b/>
          <w:sz w:val="24"/>
        </w:rPr>
        <w:t>five</w:t>
      </w:r>
    </w:p>
    <w:p w14:paraId="47B8521C" w14:textId="77777777" w:rsidR="00845C83" w:rsidRPr="00845C83" w:rsidRDefault="00EC567A" w:rsidP="00845C83">
      <w:pPr>
        <w:numPr>
          <w:ilvl w:val="0"/>
          <w:numId w:val="1"/>
        </w:numPr>
        <w:tabs>
          <w:tab w:val="clear" w:pos="720"/>
          <w:tab w:val="num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Ireland, Spain and Czech Republic post strongest growth in July</w:t>
      </w:r>
    </w:p>
    <w:p w14:paraId="0532DBDC" w14:textId="77777777" w:rsidR="00846C6B" w:rsidRPr="00846C6B" w:rsidRDefault="00846C6B" w:rsidP="00846C6B">
      <w:pPr>
        <w:tabs>
          <w:tab w:val="num" w:pos="2062"/>
        </w:tabs>
        <w:spacing w:after="12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0B2938AE" w14:textId="6C972BC5" w:rsidR="006221E2" w:rsidRPr="006221E2" w:rsidRDefault="00A2659F" w:rsidP="006221E2">
      <w:pPr>
        <w:spacing w:line="360" w:lineRule="auto"/>
        <w:jc w:val="both"/>
        <w:rPr>
          <w:rFonts w:ascii="Arial" w:hAnsi="Arial" w:cs="Arial"/>
          <w:sz w:val="22"/>
        </w:rPr>
      </w:pPr>
      <w:r w:rsidRPr="006221E2">
        <w:rPr>
          <w:rFonts w:ascii="Arial" w:hAnsi="Arial" w:cs="Arial"/>
          <w:i/>
          <w:sz w:val="22"/>
        </w:rPr>
        <w:t>JATO Dynamics, the world’s leading provider of automotive intelligence</w:t>
      </w:r>
      <w:r w:rsidR="000D7ED8">
        <w:rPr>
          <w:rFonts w:ascii="Arial" w:hAnsi="Arial" w:cs="Arial"/>
          <w:i/>
          <w:sz w:val="22"/>
        </w:rPr>
        <w:t>,</w:t>
      </w:r>
      <w:r w:rsidRPr="006221E2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reports that the </w:t>
      </w:r>
      <w:r w:rsidR="006221E2" w:rsidRPr="006221E2">
        <w:rPr>
          <w:rFonts w:ascii="Arial" w:hAnsi="Arial" w:cs="Arial"/>
          <w:i/>
          <w:sz w:val="22"/>
        </w:rPr>
        <w:t xml:space="preserve">European new-car </w:t>
      </w:r>
      <w:r>
        <w:rPr>
          <w:rFonts w:ascii="Arial" w:hAnsi="Arial" w:cs="Arial"/>
          <w:i/>
          <w:sz w:val="22"/>
        </w:rPr>
        <w:t>market grew</w:t>
      </w:r>
      <w:r w:rsidR="006221E2" w:rsidRPr="006221E2">
        <w:rPr>
          <w:rFonts w:ascii="Arial" w:hAnsi="Arial" w:cs="Arial"/>
          <w:i/>
          <w:sz w:val="22"/>
        </w:rPr>
        <w:t xml:space="preserve"> by </w:t>
      </w:r>
      <w:r w:rsidR="0044661D">
        <w:rPr>
          <w:rFonts w:ascii="Arial" w:hAnsi="Arial" w:cs="Arial"/>
          <w:i/>
          <w:sz w:val="22"/>
        </w:rPr>
        <w:t>9.1</w:t>
      </w:r>
      <w:r w:rsidR="006221E2" w:rsidRPr="006221E2">
        <w:rPr>
          <w:rFonts w:ascii="Arial" w:hAnsi="Arial" w:cs="Arial"/>
          <w:i/>
          <w:sz w:val="22"/>
        </w:rPr>
        <w:t xml:space="preserve">% in </w:t>
      </w:r>
      <w:r>
        <w:rPr>
          <w:rFonts w:ascii="Arial" w:hAnsi="Arial" w:cs="Arial"/>
          <w:i/>
          <w:sz w:val="22"/>
        </w:rPr>
        <w:t xml:space="preserve">July compared </w:t>
      </w:r>
      <w:r w:rsidR="00B36C31">
        <w:rPr>
          <w:rFonts w:ascii="Arial" w:hAnsi="Arial" w:cs="Arial"/>
          <w:i/>
          <w:sz w:val="22"/>
        </w:rPr>
        <w:t xml:space="preserve">to </w:t>
      </w:r>
      <w:r>
        <w:rPr>
          <w:rFonts w:ascii="Arial" w:hAnsi="Arial" w:cs="Arial"/>
          <w:i/>
          <w:sz w:val="22"/>
        </w:rPr>
        <w:t>a year earlier</w:t>
      </w:r>
      <w:r w:rsidR="008C04FA">
        <w:rPr>
          <w:rFonts w:ascii="Arial" w:hAnsi="Arial" w:cs="Arial"/>
          <w:i/>
          <w:sz w:val="22"/>
        </w:rPr>
        <w:t xml:space="preserve">, </w:t>
      </w:r>
      <w:r w:rsidR="00343A87">
        <w:rPr>
          <w:rFonts w:ascii="Arial" w:hAnsi="Arial" w:cs="Arial"/>
          <w:i/>
          <w:sz w:val="22"/>
        </w:rPr>
        <w:t>just above</w:t>
      </w:r>
      <w:r w:rsidR="008C04FA">
        <w:rPr>
          <w:rFonts w:ascii="Arial" w:hAnsi="Arial" w:cs="Arial"/>
          <w:i/>
          <w:sz w:val="22"/>
        </w:rPr>
        <w:t xml:space="preserve"> the 8.6% growth so far in 2015.</w:t>
      </w:r>
      <w:r w:rsidR="006221E2" w:rsidRPr="006221E2">
        <w:rPr>
          <w:rFonts w:ascii="Arial" w:hAnsi="Arial" w:cs="Arial"/>
          <w:i/>
          <w:sz w:val="22"/>
        </w:rPr>
        <w:t xml:space="preserve"> </w:t>
      </w:r>
    </w:p>
    <w:p w14:paraId="47700FB3" w14:textId="77777777" w:rsidR="006221E2" w:rsidRPr="006221E2" w:rsidRDefault="006221E2" w:rsidP="006221E2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6221E2">
        <w:rPr>
          <w:rFonts w:ascii="Arial" w:hAnsi="Arial" w:cs="Arial"/>
          <w:i/>
          <w:sz w:val="22"/>
        </w:rPr>
        <w:t>JATO’s headline market analysis:</w:t>
      </w:r>
    </w:p>
    <w:p w14:paraId="3117317A" w14:textId="79E552CD" w:rsidR="006221E2" w:rsidRPr="006221E2" w:rsidRDefault="00A900D6" w:rsidP="00447F9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The total </w:t>
      </w:r>
      <w:r w:rsidR="00777F1A">
        <w:rPr>
          <w:rFonts w:ascii="Arial" w:hAnsi="Arial" w:cs="Arial"/>
          <w:i/>
          <w:sz w:val="22"/>
        </w:rPr>
        <w:t>new-</w:t>
      </w:r>
      <w:r>
        <w:rPr>
          <w:rFonts w:ascii="Arial" w:hAnsi="Arial" w:cs="Arial"/>
          <w:i/>
          <w:sz w:val="22"/>
        </w:rPr>
        <w:t>car market in Europe has now recorded 23 consecutive months of growth</w:t>
      </w:r>
    </w:p>
    <w:p w14:paraId="61D1DAED" w14:textId="303AF2D8" w:rsidR="006221E2" w:rsidRPr="006221E2" w:rsidRDefault="00A900D6" w:rsidP="00447F9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Ireland car registrations were up </w:t>
      </w:r>
      <w:r w:rsidR="00777F1A">
        <w:rPr>
          <w:rFonts w:ascii="Arial" w:hAnsi="Arial" w:cs="Arial"/>
          <w:i/>
          <w:sz w:val="22"/>
        </w:rPr>
        <w:t xml:space="preserve">by </w:t>
      </w:r>
      <w:r>
        <w:rPr>
          <w:rFonts w:ascii="Arial" w:hAnsi="Arial" w:cs="Arial"/>
          <w:i/>
          <w:sz w:val="22"/>
        </w:rPr>
        <w:t xml:space="preserve">47.6% </w:t>
      </w:r>
      <w:r w:rsidR="00777F1A">
        <w:rPr>
          <w:rFonts w:ascii="Arial" w:hAnsi="Arial" w:cs="Arial"/>
          <w:i/>
          <w:sz w:val="22"/>
        </w:rPr>
        <w:t>compared to</w:t>
      </w:r>
      <w:r>
        <w:rPr>
          <w:rFonts w:ascii="Arial" w:hAnsi="Arial" w:cs="Arial"/>
          <w:i/>
          <w:sz w:val="22"/>
        </w:rPr>
        <w:t xml:space="preserve"> July 2014, while growth in Spain and Czech Republic exceeded 20%</w:t>
      </w:r>
    </w:p>
    <w:p w14:paraId="4AC8AC7C" w14:textId="1DD5304B" w:rsidR="006221E2" w:rsidRPr="006221E2" w:rsidRDefault="006221E2" w:rsidP="00447F92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i/>
          <w:sz w:val="22"/>
        </w:rPr>
      </w:pPr>
      <w:r w:rsidRPr="006221E2">
        <w:rPr>
          <w:rFonts w:ascii="Arial" w:hAnsi="Arial" w:cs="Arial"/>
          <w:i/>
          <w:sz w:val="22"/>
        </w:rPr>
        <w:t xml:space="preserve">All of the top ten models and </w:t>
      </w:r>
      <w:r w:rsidR="00897EFB">
        <w:rPr>
          <w:rFonts w:ascii="Arial" w:hAnsi="Arial" w:cs="Arial"/>
          <w:i/>
          <w:sz w:val="22"/>
        </w:rPr>
        <w:t xml:space="preserve">top ten </w:t>
      </w:r>
      <w:r w:rsidRPr="006221E2">
        <w:rPr>
          <w:rFonts w:ascii="Arial" w:hAnsi="Arial" w:cs="Arial"/>
          <w:i/>
          <w:sz w:val="22"/>
        </w:rPr>
        <w:t>brands recorded hi</w:t>
      </w:r>
      <w:r w:rsidR="008F59DC">
        <w:rPr>
          <w:rFonts w:ascii="Arial" w:hAnsi="Arial" w:cs="Arial"/>
          <w:i/>
          <w:sz w:val="22"/>
        </w:rPr>
        <w:t xml:space="preserve">gher </w:t>
      </w:r>
      <w:r w:rsidR="00BA1570">
        <w:rPr>
          <w:rFonts w:ascii="Arial" w:hAnsi="Arial" w:cs="Arial"/>
          <w:i/>
          <w:sz w:val="22"/>
        </w:rPr>
        <w:t>year-to-date</w:t>
      </w:r>
      <w:r w:rsidR="008F59DC">
        <w:rPr>
          <w:rFonts w:ascii="Arial" w:hAnsi="Arial" w:cs="Arial"/>
          <w:i/>
          <w:sz w:val="22"/>
        </w:rPr>
        <w:t xml:space="preserve"> sales</w:t>
      </w:r>
      <w:r w:rsidR="00A900D6">
        <w:rPr>
          <w:rFonts w:ascii="Arial" w:hAnsi="Arial" w:cs="Arial"/>
          <w:i/>
          <w:sz w:val="22"/>
        </w:rPr>
        <w:t xml:space="preserve"> than </w:t>
      </w:r>
      <w:r w:rsidR="00B0125C">
        <w:rPr>
          <w:rFonts w:ascii="Arial" w:hAnsi="Arial" w:cs="Arial"/>
          <w:i/>
          <w:sz w:val="22"/>
        </w:rPr>
        <w:t>the</w:t>
      </w:r>
      <w:r w:rsidR="00A900D6">
        <w:rPr>
          <w:rFonts w:ascii="Arial" w:hAnsi="Arial" w:cs="Arial"/>
          <w:i/>
          <w:sz w:val="22"/>
        </w:rPr>
        <w:t xml:space="preserve"> year </w:t>
      </w:r>
      <w:r w:rsidR="00B0125C">
        <w:rPr>
          <w:rFonts w:ascii="Arial" w:hAnsi="Arial" w:cs="Arial"/>
          <w:i/>
          <w:sz w:val="22"/>
        </w:rPr>
        <w:t>before</w:t>
      </w:r>
    </w:p>
    <w:p w14:paraId="0F8DEA97" w14:textId="77777777" w:rsidR="006221E2" w:rsidRPr="006221E2" w:rsidRDefault="006221E2" w:rsidP="006221E2">
      <w:pPr>
        <w:pStyle w:val="ColorfulList-Accent11"/>
        <w:jc w:val="both"/>
        <w:rPr>
          <w:rFonts w:ascii="Arial" w:hAnsi="Arial" w:cs="Arial"/>
          <w:i/>
          <w:sz w:val="22"/>
          <w:szCs w:val="22"/>
        </w:rPr>
      </w:pPr>
    </w:p>
    <w:p w14:paraId="526D58A7" w14:textId="31F9BBCF" w:rsidR="006221E2" w:rsidRDefault="006221E2" w:rsidP="006221E2">
      <w:pPr>
        <w:pStyle w:val="ReleaseBodyText"/>
      </w:pPr>
      <w:r w:rsidRPr="006221E2">
        <w:t xml:space="preserve">The European new-car market </w:t>
      </w:r>
      <w:r w:rsidR="00223791">
        <w:t xml:space="preserve">entered the second half of 2015 in good health, with total volume across the continent </w:t>
      </w:r>
      <w:r w:rsidR="0044661D">
        <w:t>9.1</w:t>
      </w:r>
      <w:r w:rsidR="00223791">
        <w:t xml:space="preserve">% higher in July than </w:t>
      </w:r>
      <w:r w:rsidR="0071491A">
        <w:t>a year ago</w:t>
      </w:r>
      <w:r w:rsidR="00223791">
        <w:t xml:space="preserve">, </w:t>
      </w:r>
      <w:r w:rsidR="008C04FA">
        <w:t xml:space="preserve">marking </w:t>
      </w:r>
      <w:r w:rsidR="00223791">
        <w:t>23 consecutive month</w:t>
      </w:r>
      <w:r w:rsidR="0071491A">
        <w:t>s</w:t>
      </w:r>
      <w:r w:rsidR="00223791">
        <w:t xml:space="preserve"> of growth</w:t>
      </w:r>
      <w:r w:rsidRPr="006221E2">
        <w:t>.</w:t>
      </w:r>
      <w:r w:rsidR="00223791">
        <w:t xml:space="preserve"> </w:t>
      </w:r>
      <w:r w:rsidR="00777F1A">
        <w:t>Y</w:t>
      </w:r>
      <w:r w:rsidR="00BA1570">
        <w:t>ear-to-date</w:t>
      </w:r>
      <w:r w:rsidR="00777F1A">
        <w:t>,</w:t>
      </w:r>
      <w:r w:rsidR="00223791">
        <w:t xml:space="preserve"> the market has grown by 8.6% compared to the same period a year earlier.</w:t>
      </w:r>
    </w:p>
    <w:p w14:paraId="47EEE88B" w14:textId="77777777" w:rsidR="00223791" w:rsidRDefault="00223791" w:rsidP="00471240">
      <w:pPr>
        <w:pStyle w:val="ReleaseBodyText"/>
        <w:spacing w:line="240" w:lineRule="auto"/>
      </w:pPr>
    </w:p>
    <w:p w14:paraId="335BE939" w14:textId="53DAA47A" w:rsidR="00223791" w:rsidRPr="006221E2" w:rsidRDefault="00223791" w:rsidP="006221E2">
      <w:pPr>
        <w:pStyle w:val="ReleaseBodyText"/>
      </w:pPr>
      <w:r>
        <w:t xml:space="preserve">Ireland, Spain and the Czech Republic </w:t>
      </w:r>
      <w:r w:rsidR="00D111F6">
        <w:t>performed well in July, with</w:t>
      </w:r>
      <w:r w:rsidR="00505032">
        <w:t xml:space="preserve"> </w:t>
      </w:r>
      <w:r>
        <w:t>Ireland record</w:t>
      </w:r>
      <w:r w:rsidR="00D111F6">
        <w:t>ing</w:t>
      </w:r>
      <w:r>
        <w:t xml:space="preserve"> a 47.6% increase in </w:t>
      </w:r>
      <w:r w:rsidR="00343A87">
        <w:t xml:space="preserve">July </w:t>
      </w:r>
      <w:r w:rsidR="00652AD1">
        <w:t xml:space="preserve">registrations due to a strong economic recovery (registrations are up </w:t>
      </w:r>
      <w:r w:rsidR="00777F1A">
        <w:t xml:space="preserve">by </w:t>
      </w:r>
      <w:r w:rsidR="00652AD1">
        <w:t xml:space="preserve">30.3% </w:t>
      </w:r>
      <w:r w:rsidR="00BA1570">
        <w:t>year-to-date</w:t>
      </w:r>
      <w:r w:rsidR="00652AD1">
        <w:t xml:space="preserve">) and the mid-year registration-plate change introduced in 2013 becoming more established, rivalling the longer-running January </w:t>
      </w:r>
      <w:r w:rsidR="008C04FA">
        <w:t>spike in purchases</w:t>
      </w:r>
      <w:r w:rsidR="00652AD1">
        <w:t>.</w:t>
      </w:r>
      <w:r w:rsidR="00505032">
        <w:t xml:space="preserve"> Most European</w:t>
      </w:r>
      <w:r w:rsidR="00777F1A">
        <w:t xml:space="preserve"> markets are performing well, with</w:t>
      </w:r>
      <w:r w:rsidR="00505032">
        <w:t xml:space="preserve"> 2</w:t>
      </w:r>
      <w:r w:rsidR="00BA1570">
        <w:t>5</w:t>
      </w:r>
      <w:r w:rsidR="00505032">
        <w:t xml:space="preserve"> of the 29</w:t>
      </w:r>
      <w:r w:rsidR="00777F1A">
        <w:t xml:space="preserve"> included</w:t>
      </w:r>
      <w:r w:rsidR="00505032">
        <w:t xml:space="preserve"> </w:t>
      </w:r>
      <w:r w:rsidR="00777F1A">
        <w:t>in JATO’s registration data reporting</w:t>
      </w:r>
      <w:r w:rsidR="00505032">
        <w:t xml:space="preserve"> sales </w:t>
      </w:r>
      <w:r w:rsidR="00777F1A">
        <w:t xml:space="preserve">growth </w:t>
      </w:r>
      <w:r w:rsidR="00505032">
        <w:t xml:space="preserve">compared to 2014. Of the remaining </w:t>
      </w:r>
      <w:r w:rsidR="00BA1570">
        <w:t>four</w:t>
      </w:r>
      <w:r w:rsidR="00777F1A">
        <w:t xml:space="preserve"> markets,</w:t>
      </w:r>
      <w:r w:rsidR="00505032">
        <w:t xml:space="preserve"> Luxembourg is the only country to see sales fall</w:t>
      </w:r>
      <w:r w:rsidR="00777F1A">
        <w:t xml:space="preserve"> by</w:t>
      </w:r>
      <w:r w:rsidR="00505032">
        <w:t xml:space="preserve"> more than 2%.</w:t>
      </w:r>
    </w:p>
    <w:p w14:paraId="680F098B" w14:textId="77777777" w:rsidR="006221E2" w:rsidRPr="006221E2" w:rsidRDefault="006221E2" w:rsidP="006221E2">
      <w:pPr>
        <w:pStyle w:val="ReleaseBodyText"/>
      </w:pPr>
    </w:p>
    <w:p w14:paraId="23EE1189" w14:textId="1ADB5AFA" w:rsidR="00505032" w:rsidRDefault="006221E2" w:rsidP="00211268">
      <w:pPr>
        <w:spacing w:after="0" w:line="360" w:lineRule="auto"/>
        <w:rPr>
          <w:rFonts w:ascii="Arial" w:hAnsi="Arial" w:cs="Arial"/>
          <w:b/>
          <w:sz w:val="22"/>
        </w:rPr>
      </w:pPr>
      <w:r w:rsidRPr="006221E2">
        <w:rPr>
          <w:rFonts w:ascii="Arial" w:hAnsi="Arial" w:cs="Arial"/>
          <w:sz w:val="22"/>
        </w:rPr>
        <w:lastRenderedPageBreak/>
        <w:t>Brian Walters, Vice President of Data at JATO Dynamics, commented “</w:t>
      </w:r>
      <w:r w:rsidR="00EA5B49">
        <w:rPr>
          <w:rFonts w:ascii="Arial" w:hAnsi="Arial" w:cs="Arial"/>
          <w:sz w:val="22"/>
        </w:rPr>
        <w:t>The m</w:t>
      </w:r>
      <w:r w:rsidR="00652AD1">
        <w:rPr>
          <w:rFonts w:ascii="Arial" w:hAnsi="Arial" w:cs="Arial"/>
          <w:sz w:val="22"/>
        </w:rPr>
        <w:t>arkets that suffered most at the height of the economic downturn a few years ago, such as Ireland, Spain and Portugal, are now among the fastest growing markets in Europe as consumer confidence has returned</w:t>
      </w:r>
      <w:r w:rsidRPr="006221E2">
        <w:rPr>
          <w:rFonts w:ascii="Arial" w:hAnsi="Arial" w:cs="Arial"/>
          <w:sz w:val="22"/>
        </w:rPr>
        <w:t>”</w:t>
      </w:r>
      <w:r w:rsidR="00652AD1">
        <w:rPr>
          <w:rFonts w:ascii="Arial" w:hAnsi="Arial" w:cs="Arial"/>
          <w:sz w:val="22"/>
        </w:rPr>
        <w:t>.</w:t>
      </w:r>
    </w:p>
    <w:p w14:paraId="7F2367CB" w14:textId="77777777" w:rsidR="00505032" w:rsidRDefault="00505032" w:rsidP="00471240">
      <w:pPr>
        <w:spacing w:after="0" w:line="240" w:lineRule="auto"/>
        <w:rPr>
          <w:rFonts w:ascii="Arial" w:hAnsi="Arial" w:cs="Arial"/>
          <w:b/>
          <w:sz w:val="22"/>
        </w:rPr>
      </w:pPr>
    </w:p>
    <w:p w14:paraId="47729B9D" w14:textId="77777777" w:rsidR="00846C6B" w:rsidRPr="00846C6B" w:rsidRDefault="00846C6B" w:rsidP="00211268">
      <w:pPr>
        <w:spacing w:after="0" w:line="360" w:lineRule="auto"/>
        <w:rPr>
          <w:rFonts w:ascii="Arial" w:hAnsi="Arial" w:cs="Arial"/>
          <w:b/>
          <w:sz w:val="22"/>
        </w:rPr>
      </w:pPr>
      <w:r w:rsidRPr="00846C6B">
        <w:rPr>
          <w:rFonts w:ascii="Arial" w:hAnsi="Arial" w:cs="Arial"/>
          <w:b/>
          <w:sz w:val="22"/>
        </w:rPr>
        <w:t>European Monthly Sales Volumes Year-on-Year Comparison</w:t>
      </w:r>
    </w:p>
    <w:p w14:paraId="12C8B6EC" w14:textId="0FC5CA1B" w:rsidR="00846C6B" w:rsidRPr="00846C6B" w:rsidRDefault="00846C6B" w:rsidP="00846C6B">
      <w:pPr>
        <w:jc w:val="both"/>
        <w:rPr>
          <w:rFonts w:ascii="Arial" w:hAnsi="Arial" w:cs="Arial"/>
          <w:i/>
          <w:sz w:val="16"/>
        </w:rPr>
      </w:pPr>
      <w:r w:rsidRPr="00846C6B">
        <w:rPr>
          <w:rFonts w:ascii="Arial" w:hAnsi="Arial" w:cs="Arial"/>
          <w:i/>
          <w:sz w:val="16"/>
        </w:rPr>
        <w:t xml:space="preserve">  </w:t>
      </w:r>
      <w:r w:rsidR="005F709C">
        <w:rPr>
          <w:noProof/>
          <w:lang w:val="en-US" w:eastAsia="en-US"/>
        </w:rPr>
        <w:drawing>
          <wp:inline distT="0" distB="0" distL="0" distR="0" wp14:anchorId="31E7397D" wp14:editId="5EFA967B">
            <wp:extent cx="5943600" cy="3879850"/>
            <wp:effectExtent l="0" t="0" r="1905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1E29E4" w14:textId="77777777" w:rsidR="00846C6B" w:rsidRPr="00846C6B" w:rsidRDefault="00846C6B" w:rsidP="00846C6B">
      <w:pPr>
        <w:jc w:val="both"/>
        <w:rPr>
          <w:rFonts w:ascii="Arial" w:hAnsi="Arial" w:cs="Arial"/>
          <w:i/>
          <w:sz w:val="16"/>
        </w:rPr>
      </w:pPr>
      <w:r w:rsidRPr="00846C6B">
        <w:rPr>
          <w:rFonts w:ascii="Arial" w:hAnsi="Arial" w:cs="Arial"/>
          <w:i/>
          <w:sz w:val="18"/>
        </w:rPr>
        <w:t>(Image file of graph also attached)</w:t>
      </w:r>
    </w:p>
    <w:p w14:paraId="5539E578" w14:textId="35F49023" w:rsidR="00D65E39" w:rsidRDefault="00652AD1" w:rsidP="00D65E39">
      <w:pPr>
        <w:pStyle w:val="ReleaseBodyText"/>
      </w:pPr>
      <w:r>
        <w:t xml:space="preserve">The </w:t>
      </w:r>
      <w:r w:rsidR="00D65E39" w:rsidRPr="0086284A">
        <w:t xml:space="preserve">Volkswagen </w:t>
      </w:r>
      <w:r>
        <w:t xml:space="preserve">brand maintained its lead of the European car market, with </w:t>
      </w:r>
      <w:r w:rsidR="009022A4">
        <w:t xml:space="preserve">a </w:t>
      </w:r>
      <w:r w:rsidR="00BA1570">
        <w:t>7.7</w:t>
      </w:r>
      <w:r>
        <w:t xml:space="preserve">% increase in </w:t>
      </w:r>
      <w:r w:rsidR="00897EFB">
        <w:t>volume, during July,</w:t>
      </w:r>
      <w:r>
        <w:t xml:space="preserve"> almost matching the overall market growth, and its </w:t>
      </w:r>
      <w:r w:rsidR="00777F1A">
        <w:t xml:space="preserve">8.9% </w:t>
      </w:r>
      <w:r w:rsidR="00BA1570">
        <w:t>year-to-date</w:t>
      </w:r>
      <w:r w:rsidR="00777F1A">
        <w:t xml:space="preserve"> growth </w:t>
      </w:r>
      <w:r>
        <w:t>beating the market average. Ford</w:t>
      </w:r>
      <w:r w:rsidR="00447F92">
        <w:t xml:space="preserve"> took second position in</w:t>
      </w:r>
      <w:r w:rsidR="008C04FA">
        <w:t xml:space="preserve"> overall sales</w:t>
      </w:r>
      <w:r w:rsidR="00447F92">
        <w:t xml:space="preserve">, ahead of Opel/Vauxhall, </w:t>
      </w:r>
      <w:r w:rsidR="00BA1570">
        <w:t>Renault</w:t>
      </w:r>
      <w:r w:rsidR="00B85ACC">
        <w:t xml:space="preserve"> and Peugeot</w:t>
      </w:r>
      <w:r w:rsidR="00447F92">
        <w:t xml:space="preserve">. All of the </w:t>
      </w:r>
      <w:r w:rsidR="008C04FA">
        <w:t>t</w:t>
      </w:r>
      <w:r w:rsidR="00447F92">
        <w:t xml:space="preserve">op </w:t>
      </w:r>
      <w:r w:rsidR="008C04FA">
        <w:t>ten</w:t>
      </w:r>
      <w:r w:rsidR="00447F92">
        <w:t xml:space="preserve"> brands </w:t>
      </w:r>
      <w:r w:rsidR="00897EFB">
        <w:t xml:space="preserve">have </w:t>
      </w:r>
      <w:r w:rsidR="001250F6">
        <w:t xml:space="preserve">increased sales </w:t>
      </w:r>
      <w:r w:rsidR="00BA1570">
        <w:t>year-to-date.</w:t>
      </w:r>
    </w:p>
    <w:p w14:paraId="29251E09" w14:textId="77777777" w:rsidR="008F59DC" w:rsidRPr="0086284A" w:rsidRDefault="008F59DC" w:rsidP="008F59DC">
      <w:pPr>
        <w:pStyle w:val="ReleaseBodyText"/>
        <w:spacing w:line="240" w:lineRule="auto"/>
      </w:pPr>
    </w:p>
    <w:p w14:paraId="0FFE1943" w14:textId="77777777" w:rsidR="00846C6B" w:rsidRPr="00846C6B" w:rsidRDefault="00D51D6A" w:rsidP="00846C6B">
      <w:pPr>
        <w:spacing w:before="120"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Top Ten</w:t>
      </w:r>
      <w:r w:rsidR="00846C6B" w:rsidRPr="00846C6B">
        <w:rPr>
          <w:rFonts w:ascii="Arial" w:hAnsi="Arial" w:cs="Arial"/>
          <w:b/>
          <w:sz w:val="22"/>
        </w:rPr>
        <w:t xml:space="preserve"> Brands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2415"/>
        <w:gridCol w:w="992"/>
        <w:gridCol w:w="993"/>
        <w:gridCol w:w="1134"/>
        <w:gridCol w:w="992"/>
        <w:gridCol w:w="992"/>
        <w:gridCol w:w="1134"/>
      </w:tblGrid>
      <w:tr w:rsidR="00447F92" w:rsidRPr="00D65E39" w14:paraId="317DFAA2" w14:textId="77777777" w:rsidTr="00A900D6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1BD896" w14:textId="77777777" w:rsidR="00447F92" w:rsidRDefault="00447F92" w:rsidP="00447F9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2150C3A4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326E398E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14:paraId="49A2C14B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Jul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DE49BE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BFBC4B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73A8D" w14:textId="77777777" w:rsidR="00447F92" w:rsidRDefault="00447F92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YtD</w:t>
            </w:r>
          </w:p>
        </w:tc>
      </w:tr>
      <w:tr w:rsidR="005F709C" w:rsidRPr="00D65E39" w14:paraId="6CB47281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74D" w14:textId="4EE47E5C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VOLKSWAGEN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A55A1" w14:textId="0B604CA8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E777" w14:textId="4FE06FA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3A23C" w14:textId="5C311673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C81E" w14:textId="7A81B1D2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1,052,218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52B" w14:textId="103C9FAF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3EC" w14:textId="5FCD265F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+8.9%</w:t>
            </w:r>
          </w:p>
        </w:tc>
      </w:tr>
      <w:tr w:rsidR="005F709C" w:rsidRPr="00D65E39" w14:paraId="78C92CA4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3AD" w14:textId="7FE05321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ED494" w14:textId="0CFB7265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E1EB6" w14:textId="78F4DE81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6D0A01" w14:textId="24A8ABF2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2B1" w14:textId="25989C5A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7155" w14:textId="706993F5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C56" w14:textId="3B610F8A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+6.7%</w:t>
            </w:r>
          </w:p>
        </w:tc>
      </w:tr>
      <w:tr w:rsidR="005F709C" w:rsidRPr="00D65E39" w14:paraId="43D16031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1C5" w14:textId="69BD4819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OPEL/VAUXHALL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93583" w14:textId="6849CD52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BF5A" w14:textId="005077D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7B498" w14:textId="028D4C8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6FB" w14:textId="0A0637D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A9" w14:textId="31F582F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5E5" w14:textId="041BED5F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+5.1%</w:t>
            </w:r>
          </w:p>
        </w:tc>
      </w:tr>
      <w:tr w:rsidR="005F709C" w:rsidRPr="00D65E39" w14:paraId="4558A18C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503" w14:textId="1D26A17D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6EC6E" w14:textId="2755D2A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17B9" w14:textId="2B8202C2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FCCED" w14:textId="53A75195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D32" w14:textId="53EFAC7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C9F" w14:textId="3B5A247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837" w14:textId="0F6529AB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+9.6%</w:t>
            </w:r>
          </w:p>
        </w:tc>
      </w:tr>
      <w:tr w:rsidR="005F709C" w:rsidRPr="00D65E39" w14:paraId="389F37F6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135" w14:textId="03312CFC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PEUGEOT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02DEE" w14:textId="1D583C8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EF115" w14:textId="4FC146AA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8294" w14:textId="31D2BC20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3A57" w14:textId="0597DBCC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519,931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587" w14:textId="4962AE6D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F2D" w14:textId="155A4316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+7.4%</w:t>
            </w:r>
          </w:p>
        </w:tc>
      </w:tr>
      <w:tr w:rsidR="005F709C" w:rsidRPr="00D65E39" w14:paraId="18140FFB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073" w14:textId="34C4C3C4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22B93" w14:textId="6BEAD7B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9166" w14:textId="68C34ABF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CDE94" w14:textId="4735E4A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C83" w14:textId="0ED0F83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B3E" w14:textId="00C14720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AD0" w14:textId="4B7D2F9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+4.9%</w:t>
            </w:r>
          </w:p>
        </w:tc>
      </w:tr>
      <w:tr w:rsidR="005F709C" w:rsidRPr="00D65E39" w14:paraId="693D5ECF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D1BF" w14:textId="079FC69A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C63C0" w14:textId="70B733E1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B502" w14:textId="375B9A8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BFC06" w14:textId="594AE5F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40A" w14:textId="4F727EF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6DF" w14:textId="3CC5045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0C9" w14:textId="609C48BB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+11.3%</w:t>
            </w:r>
          </w:p>
        </w:tc>
      </w:tr>
      <w:tr w:rsidR="005F709C" w:rsidRPr="00D65E39" w14:paraId="2CF12941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BB3" w14:textId="7DE8C960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85F93" w14:textId="31C3315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5375" w14:textId="72C067C2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98D29" w14:textId="35A4B47B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00B" w14:textId="1A52A5A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377" w14:textId="6865C2DC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489" w14:textId="21F39B79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+7.6%</w:t>
            </w:r>
          </w:p>
        </w:tc>
      </w:tr>
      <w:tr w:rsidR="005F709C" w:rsidRPr="00D65E39" w14:paraId="0A8B1C7E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5FE8" w14:textId="33EC9698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41116" w14:textId="1A21573A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4F9D" w14:textId="2C690A0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AEC9D" w14:textId="5F357423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DD1" w14:textId="63F2247B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481" w14:textId="35DA3B9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0F0" w14:textId="2686DDE8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+9.5%</w:t>
            </w:r>
          </w:p>
        </w:tc>
      </w:tr>
      <w:tr w:rsidR="005F709C" w:rsidRPr="00D65E39" w14:paraId="281922C9" w14:textId="77777777" w:rsidTr="00A900D6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76E" w14:textId="3DDC0498" w:rsidR="005F709C" w:rsidRDefault="005F709C" w:rsidP="00447F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55FA5" w14:textId="3C5200DD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F7C4" w14:textId="354FA5C7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7BDDE" w14:textId="1303AC8F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92B" w14:textId="02D38768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9A3" w14:textId="433276CE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516" w14:textId="065F71A4" w:rsidR="005F709C" w:rsidRDefault="005F709C" w:rsidP="00447F92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+6.6%</w:t>
            </w:r>
          </w:p>
        </w:tc>
      </w:tr>
    </w:tbl>
    <w:p w14:paraId="10777AD0" w14:textId="77777777" w:rsidR="00447F92" w:rsidRDefault="00447F92" w:rsidP="00D65E39">
      <w:pPr>
        <w:pStyle w:val="ReleaseBodyText"/>
      </w:pPr>
    </w:p>
    <w:p w14:paraId="52AF47AA" w14:textId="22E6B969" w:rsidR="00D65E39" w:rsidRDefault="00447F92" w:rsidP="00D65E39">
      <w:pPr>
        <w:pStyle w:val="ReleaseBodyText"/>
      </w:pPr>
      <w:r>
        <w:lastRenderedPageBreak/>
        <w:t xml:space="preserve">Outside the </w:t>
      </w:r>
      <w:r w:rsidR="008C04FA">
        <w:t>t</w:t>
      </w:r>
      <w:r>
        <w:t xml:space="preserve">op </w:t>
      </w:r>
      <w:r w:rsidR="008C04FA">
        <w:t>ten</w:t>
      </w:r>
      <w:r>
        <w:t xml:space="preserve">, Toyota and Nissan saw their July sales increase by over </w:t>
      </w:r>
      <w:r w:rsidR="00BA1570">
        <w:t>5</w:t>
      </w:r>
      <w:r>
        <w:t>,000 units. Toyota</w:t>
      </w:r>
      <w:r w:rsidR="008C04FA">
        <w:t>’s</w:t>
      </w:r>
      <w:r>
        <w:t xml:space="preserve"> </w:t>
      </w:r>
      <w:r w:rsidR="008C04FA">
        <w:t>new-look</w:t>
      </w:r>
      <w:r>
        <w:t xml:space="preserve"> Yaris</w:t>
      </w:r>
      <w:r w:rsidR="009022A4">
        <w:t>,</w:t>
      </w:r>
      <w:r>
        <w:t xml:space="preserve"> latest Ayg</w:t>
      </w:r>
      <w:r w:rsidR="00F13899">
        <w:t>o and RAV4 models</w:t>
      </w:r>
      <w:r w:rsidR="008C04FA">
        <w:t xml:space="preserve"> </w:t>
      </w:r>
      <w:r w:rsidR="00DC5D78">
        <w:t xml:space="preserve">each </w:t>
      </w:r>
      <w:r w:rsidR="008C04FA">
        <w:t>recorded strong sales</w:t>
      </w:r>
      <w:r w:rsidR="00F13899">
        <w:t>, while Nissan’s new Pulsar continue</w:t>
      </w:r>
      <w:r w:rsidR="00505032">
        <w:t>d</w:t>
      </w:r>
      <w:r w:rsidR="00F13899">
        <w:t xml:space="preserve"> to </w:t>
      </w:r>
      <w:r w:rsidR="008C04FA">
        <w:t xml:space="preserve">increase </w:t>
      </w:r>
      <w:r w:rsidR="00F13899">
        <w:t>sales in the mainstream C-segment. T</w:t>
      </w:r>
      <w:r w:rsidR="003F73DC">
        <w:t>esla</w:t>
      </w:r>
      <w:r w:rsidR="008C04FA">
        <w:t>’s</w:t>
      </w:r>
      <w:r w:rsidR="003F73DC">
        <w:t xml:space="preserve"> July sales </w:t>
      </w:r>
      <w:r w:rsidR="008C04FA">
        <w:t xml:space="preserve">were </w:t>
      </w:r>
      <w:r w:rsidR="003F73DC">
        <w:t>more than tr</w:t>
      </w:r>
      <w:r w:rsidR="008C04FA">
        <w:t>ip</w:t>
      </w:r>
      <w:r w:rsidR="003F73DC">
        <w:t>l</w:t>
      </w:r>
      <w:r w:rsidR="008C04FA">
        <w:t>e</w:t>
      </w:r>
      <w:r w:rsidR="003F73DC">
        <w:t xml:space="preserve"> </w:t>
      </w:r>
      <w:r w:rsidR="008677AD">
        <w:t>compared to</w:t>
      </w:r>
      <w:r w:rsidR="009022A4">
        <w:t xml:space="preserve"> </w:t>
      </w:r>
      <w:r w:rsidR="003F73DC">
        <w:t xml:space="preserve">those </w:t>
      </w:r>
      <w:r w:rsidR="008C04FA">
        <w:t>registered</w:t>
      </w:r>
      <w:r w:rsidR="003F73DC">
        <w:t xml:space="preserve"> a year ago, </w:t>
      </w:r>
      <w:r w:rsidR="008C04FA">
        <w:t xml:space="preserve">led by </w:t>
      </w:r>
      <w:r w:rsidR="003F73DC">
        <w:t>sales of its all-electric Model S in Scandinavian markets, Germany and the Netherlands.</w:t>
      </w:r>
    </w:p>
    <w:p w14:paraId="295D3740" w14:textId="77777777" w:rsidR="007113F1" w:rsidRDefault="007113F1" w:rsidP="008F59DC">
      <w:pPr>
        <w:pStyle w:val="ReleaseBodyText"/>
        <w:spacing w:line="240" w:lineRule="auto"/>
      </w:pPr>
    </w:p>
    <w:p w14:paraId="781D5AB4" w14:textId="685263D2" w:rsidR="00D65E39" w:rsidRDefault="008C04FA" w:rsidP="00D65E39">
      <w:pPr>
        <w:pStyle w:val="ReleaseBodyText"/>
      </w:pPr>
      <w:r>
        <w:t>Volkswagen conti</w:t>
      </w:r>
      <w:r w:rsidR="00505032">
        <w:t>nued its dominance</w:t>
      </w:r>
      <w:r w:rsidR="0066715A">
        <w:t xml:space="preserve"> within the top ten models</w:t>
      </w:r>
      <w:r w:rsidR="00505032">
        <w:t xml:space="preserve">, </w:t>
      </w:r>
      <w:r w:rsidR="0066715A">
        <w:t>with</w:t>
      </w:r>
      <w:r>
        <w:t xml:space="preserve"> </w:t>
      </w:r>
      <w:r w:rsidR="0066715A">
        <w:t>t</w:t>
      </w:r>
      <w:r>
        <w:t xml:space="preserve">he </w:t>
      </w:r>
      <w:r w:rsidR="00F13899">
        <w:t xml:space="preserve">best-selling Volkswagen </w:t>
      </w:r>
      <w:r w:rsidR="001250F6">
        <w:t>Golf</w:t>
      </w:r>
      <w:r w:rsidR="00F13899">
        <w:t xml:space="preserve"> </w:t>
      </w:r>
      <w:r w:rsidR="0066715A">
        <w:t xml:space="preserve">being </w:t>
      </w:r>
      <w:r w:rsidR="00F13899">
        <w:t>joined by the brand’s recently revised Polo in second place and new Passat in fifth</w:t>
      </w:r>
      <w:r w:rsidR="00DC4C0D">
        <w:t>.</w:t>
      </w:r>
      <w:r w:rsidR="00F13899">
        <w:t xml:space="preserve"> </w:t>
      </w:r>
      <w:r w:rsidR="00DC4C0D">
        <w:t>T</w:t>
      </w:r>
      <w:r w:rsidR="00F13899">
        <w:t>he Passat record</w:t>
      </w:r>
      <w:r w:rsidR="00DC4C0D">
        <w:t>ed</w:t>
      </w:r>
      <w:r w:rsidR="00F13899">
        <w:t xml:space="preserve"> sales </w:t>
      </w:r>
      <w:r w:rsidR="00AE44C3">
        <w:t>49</w:t>
      </w:r>
      <w:r w:rsidR="00F13899">
        <w:t>.</w:t>
      </w:r>
      <w:r w:rsidR="00AE44C3">
        <w:t>9</w:t>
      </w:r>
      <w:r w:rsidR="00F13899">
        <w:t>% higher than in July 2014</w:t>
      </w:r>
      <w:r w:rsidR="00505032">
        <w:t xml:space="preserve"> to </w:t>
      </w:r>
      <w:r w:rsidR="006351D3">
        <w:t xml:space="preserve">move </w:t>
      </w:r>
      <w:r w:rsidR="00505032">
        <w:t>from tenth place to fifth in one month</w:t>
      </w:r>
      <w:r w:rsidR="00F13899">
        <w:t xml:space="preserve">. The </w:t>
      </w:r>
      <w:r w:rsidR="002745ED">
        <w:t>Ford Fiesta</w:t>
      </w:r>
      <w:r w:rsidR="0056173D">
        <w:t xml:space="preserve"> and Renault Clio</w:t>
      </w:r>
      <w:r w:rsidR="00F13899">
        <w:t xml:space="preserve"> took third and fourth places</w:t>
      </w:r>
      <w:r w:rsidR="0066715A">
        <w:t xml:space="preserve"> respectively</w:t>
      </w:r>
      <w:r w:rsidR="00DC5D78">
        <w:t>.</w:t>
      </w:r>
    </w:p>
    <w:p w14:paraId="192D9E09" w14:textId="77777777" w:rsidR="00D65E39" w:rsidRDefault="00D65E39" w:rsidP="008F59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lang w:eastAsia="en-GB"/>
        </w:rPr>
      </w:pPr>
    </w:p>
    <w:p w14:paraId="06146F74" w14:textId="77777777" w:rsidR="00846C6B" w:rsidRPr="00846C6B" w:rsidRDefault="002B49A2" w:rsidP="00846C6B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Top Ten</w:t>
      </w:r>
      <w:r w:rsidR="00846C6B" w:rsidRPr="00846C6B">
        <w:rPr>
          <w:rFonts w:ascii="Arial" w:hAnsi="Arial" w:cs="Arial"/>
          <w:b/>
          <w:sz w:val="22"/>
        </w:rPr>
        <w:t xml:space="preserve"> Models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2415"/>
        <w:gridCol w:w="965"/>
        <w:gridCol w:w="1020"/>
        <w:gridCol w:w="1134"/>
        <w:gridCol w:w="992"/>
        <w:gridCol w:w="992"/>
        <w:gridCol w:w="1134"/>
      </w:tblGrid>
      <w:tr w:rsidR="00F13899" w:rsidRPr="00C94331" w14:paraId="57279771" w14:textId="77777777" w:rsidTr="00C94331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0460BF" w14:textId="77777777" w:rsidR="00F13899" w:rsidRDefault="00F13899" w:rsidP="00F1389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Make &amp; Model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0074A7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87E868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EBD165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Jul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CCF3F3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B7661B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D4CF75" w14:textId="77777777" w:rsidR="00F13899" w:rsidRDefault="00F13899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YtD</w:t>
            </w:r>
          </w:p>
        </w:tc>
      </w:tr>
      <w:tr w:rsidR="005F709C" w:rsidRPr="00C94331" w14:paraId="61B3131B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F05" w14:textId="1FD27D5B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VOLKSWAGEN GOLF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BE8" w14:textId="04DDDB99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C00" w14:textId="411194C7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1E1" w14:textId="4DFD4512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8DA" w14:textId="74B3BD1C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222B" w14:textId="53101366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F79" w14:textId="65AEB5A0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+3.5%</w:t>
            </w:r>
          </w:p>
        </w:tc>
      </w:tr>
      <w:tr w:rsidR="005F709C" w:rsidRPr="00C94331" w14:paraId="12001A22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DF5" w14:textId="508881AA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VOLKSWAGEN POLO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01B" w14:textId="680603A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5F5" w14:textId="2496368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9AE" w14:textId="6C41036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+14.6%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275" w14:textId="0D65A72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212" w14:textId="0BD91E2A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835" w14:textId="3B25CBB5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+13.4%</w:t>
            </w:r>
          </w:p>
        </w:tc>
      </w:tr>
      <w:tr w:rsidR="005F709C" w:rsidRPr="00C94331" w14:paraId="23CCFD14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E03" w14:textId="30843AEC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FORD FIESTA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3C1" w14:textId="1FE1C4AC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4B5" w14:textId="22C78922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C89" w14:textId="6C63B1DD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-4.0%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C7B" w14:textId="14842064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623" w14:textId="16B9CD36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32E" w14:textId="7F3D3B6A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+2.9%</w:t>
            </w:r>
          </w:p>
        </w:tc>
      </w:tr>
      <w:tr w:rsidR="005F709C" w:rsidRPr="00C94331" w14:paraId="683D7AE9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B5D" w14:textId="5C1164AD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 CLIO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A31E" w14:textId="798C3C08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8E9" w14:textId="46DF1F29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BF5" w14:textId="41404D34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-3.1%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C67" w14:textId="2A1F178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04F" w14:textId="33BF5672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F2E" w14:textId="75599A93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+1.5%</w:t>
            </w:r>
          </w:p>
        </w:tc>
      </w:tr>
      <w:tr w:rsidR="005F709C" w:rsidRPr="00C94331" w14:paraId="79CE336C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896" w14:textId="57A91B70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VOLKSWAGEN PASSAT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119" w14:textId="2D21B428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52C" w14:textId="56BD63F4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1B3" w14:textId="1F897B6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+49.9%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C44" w14:textId="51DF7B72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272F" w14:textId="712CFB7D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EAF" w14:textId="02E21137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+40.9%</w:t>
            </w:r>
          </w:p>
        </w:tc>
      </w:tr>
      <w:tr w:rsidR="005F709C" w:rsidRPr="00C94331" w14:paraId="139C57BA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AABF" w14:textId="67D11190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SKODA OCTAVIA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C9C" w14:textId="21311B19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3D1" w14:textId="5822C9F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5EB" w14:textId="6CBD5897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+9.9%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CAA" w14:textId="102A4CF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CDB" w14:textId="2CE55DF5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DB5D" w14:textId="4B991B54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+6.0%</w:t>
            </w:r>
          </w:p>
        </w:tc>
      </w:tr>
      <w:tr w:rsidR="005F709C" w:rsidRPr="00C94331" w14:paraId="01D0FE63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559" w14:textId="431D57BB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FORD FOCUS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4BD0" w14:textId="4E509060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45E" w14:textId="6A297040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D0C5" w14:textId="4A4474D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825" w14:textId="3DD64C1C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E38" w14:textId="6F6A0C80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ED3" w14:textId="747E7C23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+6.4%</w:t>
            </w:r>
          </w:p>
        </w:tc>
      </w:tr>
      <w:tr w:rsidR="005F709C" w:rsidRPr="00C94331" w14:paraId="1F2A6F6A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540" w14:textId="00C0A37D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NISSAN QASHQAI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550" w14:textId="0E3113D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F78" w14:textId="61814B75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D88" w14:textId="728F1C3D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333" w14:textId="36287855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F98" w14:textId="2AA0C259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4B8E" w14:textId="3C9666B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+12.4%</w:t>
            </w:r>
          </w:p>
        </w:tc>
      </w:tr>
      <w:tr w:rsidR="005F709C" w:rsidRPr="00C94331" w14:paraId="0A85E88B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ED68" w14:textId="5036D62A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OPEL/VAUXHALL CORSA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7596" w14:textId="6A63BE2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E49" w14:textId="53116218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47C" w14:textId="0C1BE63B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-10.9%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B35" w14:textId="580981C4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1C8" w14:textId="217A2B11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1F8" w14:textId="43BCF271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+10.0%</w:t>
            </w:r>
          </w:p>
        </w:tc>
      </w:tr>
      <w:tr w:rsidR="005F709C" w:rsidRPr="00C94331" w14:paraId="1B036961" w14:textId="77777777" w:rsidTr="00C94331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0FB" w14:textId="1D4FDF85" w:rsidR="005F709C" w:rsidRDefault="005F709C" w:rsidP="00F13899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PEUGEOT 208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7C6" w14:textId="2B58C501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190" w14:textId="68141F07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17E" w14:textId="37B2AFF5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0BF" w14:textId="0E4F2FAE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E49" w14:textId="7CF3016F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A9F" w14:textId="1AB3843A" w:rsidR="005F709C" w:rsidRDefault="005F709C" w:rsidP="00F13899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+2.2%</w:t>
            </w:r>
          </w:p>
        </w:tc>
      </w:tr>
    </w:tbl>
    <w:p w14:paraId="6CEE6C34" w14:textId="77777777" w:rsidR="00846C6B" w:rsidRPr="00846C6B" w:rsidRDefault="00846C6B" w:rsidP="00471240">
      <w:pPr>
        <w:spacing w:after="120" w:line="240" w:lineRule="auto"/>
        <w:rPr>
          <w:rFonts w:ascii="Arial" w:hAnsi="Arial" w:cs="Arial"/>
          <w:sz w:val="22"/>
        </w:rPr>
      </w:pPr>
    </w:p>
    <w:p w14:paraId="11B9E90D" w14:textId="47928408" w:rsidR="00F13899" w:rsidRDefault="00F13899" w:rsidP="00C9433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Beyond the </w:t>
      </w:r>
      <w:r w:rsidR="00505032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op </w:t>
      </w:r>
      <w:r w:rsidR="00505032">
        <w:rPr>
          <w:rFonts w:ascii="Arial" w:hAnsi="Arial" w:cs="Arial"/>
          <w:sz w:val="22"/>
        </w:rPr>
        <w:t>ten</w:t>
      </w:r>
      <w:r w:rsidR="003F73D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3F73DC">
        <w:rPr>
          <w:rFonts w:ascii="Arial" w:hAnsi="Arial" w:cs="Arial"/>
          <w:sz w:val="22"/>
        </w:rPr>
        <w:t xml:space="preserve">new and </w:t>
      </w:r>
      <w:r>
        <w:rPr>
          <w:rFonts w:ascii="Arial" w:hAnsi="Arial" w:cs="Arial"/>
          <w:sz w:val="22"/>
        </w:rPr>
        <w:t>updated models</w:t>
      </w:r>
      <w:r w:rsidR="003F73DC">
        <w:rPr>
          <w:rFonts w:ascii="Arial" w:hAnsi="Arial" w:cs="Arial"/>
          <w:sz w:val="22"/>
        </w:rPr>
        <w:t xml:space="preserve"> such as the Skoda Fabia and Mercedes-Benz C-Class</w:t>
      </w:r>
      <w:r>
        <w:rPr>
          <w:rFonts w:ascii="Arial" w:hAnsi="Arial" w:cs="Arial"/>
          <w:sz w:val="22"/>
        </w:rPr>
        <w:t xml:space="preserve"> </w:t>
      </w:r>
      <w:r w:rsidR="003F73DC">
        <w:rPr>
          <w:rFonts w:ascii="Arial" w:hAnsi="Arial" w:cs="Arial"/>
          <w:sz w:val="22"/>
        </w:rPr>
        <w:t xml:space="preserve">recorded significantly increased </w:t>
      </w:r>
      <w:r w:rsidR="0066715A">
        <w:rPr>
          <w:rFonts w:ascii="Arial" w:hAnsi="Arial" w:cs="Arial"/>
          <w:sz w:val="22"/>
        </w:rPr>
        <w:t xml:space="preserve">sales in </w:t>
      </w:r>
      <w:r w:rsidR="003F73DC">
        <w:rPr>
          <w:rFonts w:ascii="Arial" w:hAnsi="Arial" w:cs="Arial"/>
          <w:sz w:val="22"/>
        </w:rPr>
        <w:t xml:space="preserve">July, </w:t>
      </w:r>
      <w:r w:rsidR="00505032">
        <w:rPr>
          <w:rFonts w:ascii="Arial" w:hAnsi="Arial" w:cs="Arial"/>
          <w:sz w:val="22"/>
        </w:rPr>
        <w:t>along with more</w:t>
      </w:r>
      <w:r w:rsidR="003F73DC">
        <w:rPr>
          <w:rFonts w:ascii="Arial" w:hAnsi="Arial" w:cs="Arial"/>
          <w:sz w:val="22"/>
        </w:rPr>
        <w:t xml:space="preserve"> established models such as the Opel/Vauxhall Mokka (up </w:t>
      </w:r>
      <w:r w:rsidR="00D057E9">
        <w:rPr>
          <w:rFonts w:ascii="Arial" w:hAnsi="Arial" w:cs="Arial"/>
          <w:sz w:val="22"/>
        </w:rPr>
        <w:t>44.5</w:t>
      </w:r>
      <w:r w:rsidR="003F73DC">
        <w:rPr>
          <w:rFonts w:ascii="Arial" w:hAnsi="Arial" w:cs="Arial"/>
          <w:sz w:val="22"/>
        </w:rPr>
        <w:t xml:space="preserve">%), Hyundai i10 (up </w:t>
      </w:r>
      <w:r w:rsidR="00057AF9">
        <w:rPr>
          <w:rFonts w:ascii="Arial" w:hAnsi="Arial" w:cs="Arial"/>
          <w:sz w:val="22"/>
        </w:rPr>
        <w:t>16.0</w:t>
      </w:r>
      <w:r w:rsidR="003F73DC">
        <w:rPr>
          <w:rFonts w:ascii="Arial" w:hAnsi="Arial" w:cs="Arial"/>
          <w:sz w:val="22"/>
        </w:rPr>
        <w:t>%) and Volvo XC60 (up 3</w:t>
      </w:r>
      <w:r w:rsidR="002745ED">
        <w:rPr>
          <w:rFonts w:ascii="Arial" w:hAnsi="Arial" w:cs="Arial"/>
          <w:sz w:val="22"/>
        </w:rPr>
        <w:t>4</w:t>
      </w:r>
      <w:r w:rsidR="00057AF9">
        <w:rPr>
          <w:rFonts w:ascii="Arial" w:hAnsi="Arial" w:cs="Arial"/>
          <w:sz w:val="22"/>
        </w:rPr>
        <w:t>.9</w:t>
      </w:r>
      <w:r w:rsidR="003F73DC">
        <w:rPr>
          <w:rFonts w:ascii="Arial" w:hAnsi="Arial" w:cs="Arial"/>
          <w:sz w:val="22"/>
        </w:rPr>
        <w:t>%).</w:t>
      </w:r>
    </w:p>
    <w:p w14:paraId="76ED9D09" w14:textId="23A011E6" w:rsidR="00DC5D78" w:rsidRDefault="003F73DC" w:rsidP="00C9433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Brian Walters concluded </w:t>
      </w:r>
      <w:r w:rsidR="00C94331">
        <w:rPr>
          <w:rFonts w:ascii="Arial" w:hAnsi="Arial" w:cs="Arial"/>
          <w:sz w:val="22"/>
        </w:rPr>
        <w:t>“</w:t>
      </w:r>
      <w:r w:rsidR="00DC5D78">
        <w:rPr>
          <w:rFonts w:ascii="Arial" w:hAnsi="Arial" w:cs="Arial"/>
          <w:sz w:val="22"/>
        </w:rPr>
        <w:t>Aided by high consumer confidence across much of the continent, the European new-car market continues to grow at a healthy pace, with both new and well established models performing well”.</w:t>
      </w:r>
    </w:p>
    <w:p w14:paraId="1EC2B84E" w14:textId="77777777" w:rsidR="00846C6B" w:rsidRPr="00846C6B" w:rsidRDefault="00846C6B" w:rsidP="002B49A2">
      <w:pPr>
        <w:spacing w:line="360" w:lineRule="auto"/>
        <w:rPr>
          <w:rFonts w:ascii="Arial" w:hAnsi="Arial" w:cs="Arial"/>
          <w:bCs/>
          <w:sz w:val="22"/>
        </w:rPr>
      </w:pPr>
      <w:r w:rsidRPr="00846C6B">
        <w:rPr>
          <w:rFonts w:ascii="Arial" w:hAnsi="Arial" w:cs="Arial"/>
          <w:bCs/>
          <w:sz w:val="22"/>
        </w:rPr>
        <w:t xml:space="preserve">For more information email </w:t>
      </w:r>
      <w:hyperlink r:id="rId10" w:history="1">
        <w:r w:rsidRPr="00846C6B">
          <w:rPr>
            <w:rStyle w:val="Hyperlink"/>
            <w:rFonts w:cs="Arial"/>
          </w:rPr>
          <w:t>jatoteam@firstlightpr.com</w:t>
        </w:r>
      </w:hyperlink>
      <w:r w:rsidRPr="00846C6B">
        <w:rPr>
          <w:rFonts w:ascii="Arial" w:hAnsi="Arial" w:cs="Arial"/>
          <w:sz w:val="22"/>
        </w:rPr>
        <w:t xml:space="preserve">, </w:t>
      </w:r>
      <w:r w:rsidRPr="00846C6B">
        <w:rPr>
          <w:rFonts w:ascii="Arial" w:hAnsi="Arial" w:cs="Arial"/>
          <w:bCs/>
          <w:sz w:val="22"/>
        </w:rPr>
        <w:t xml:space="preserve">visit </w:t>
      </w:r>
      <w:hyperlink r:id="rId11" w:tooltip="blocked::http://www.jato.com/" w:history="1">
        <w:r w:rsidRPr="00846C6B">
          <w:rPr>
            <w:rStyle w:val="Hyperlink"/>
            <w:rFonts w:cs="Arial"/>
          </w:rPr>
          <w:t>www.jato.com</w:t>
        </w:r>
      </w:hyperlink>
      <w:r w:rsidRPr="00846C6B">
        <w:rPr>
          <w:rFonts w:ascii="Arial" w:hAnsi="Arial" w:cs="Arial"/>
          <w:bCs/>
          <w:sz w:val="22"/>
        </w:rPr>
        <w:t xml:space="preserve"> and follow JATO on </w:t>
      </w:r>
      <w:hyperlink r:id="rId12" w:history="1">
        <w:r w:rsidRPr="00846C6B">
          <w:rPr>
            <w:rStyle w:val="Hyperlink"/>
            <w:rFonts w:cs="Arial"/>
            <w:bCs/>
          </w:rPr>
          <w:t>LinkedIn</w:t>
        </w:r>
      </w:hyperlink>
      <w:r w:rsidRPr="00846C6B">
        <w:rPr>
          <w:rFonts w:ascii="Arial" w:hAnsi="Arial" w:cs="Arial"/>
          <w:bCs/>
          <w:sz w:val="22"/>
        </w:rPr>
        <w:t xml:space="preserve"> &amp; </w:t>
      </w:r>
      <w:hyperlink r:id="rId13" w:history="1">
        <w:r w:rsidRPr="00846C6B">
          <w:rPr>
            <w:rStyle w:val="Hyperlink"/>
            <w:rFonts w:cs="Arial"/>
            <w:bCs/>
          </w:rPr>
          <w:t>Twitter</w:t>
        </w:r>
      </w:hyperlink>
      <w:r w:rsidRPr="00846C6B">
        <w:rPr>
          <w:rFonts w:ascii="Arial" w:hAnsi="Arial" w:cs="Arial"/>
          <w:bCs/>
          <w:sz w:val="22"/>
        </w:rPr>
        <w:t>.</w:t>
      </w:r>
    </w:p>
    <w:p w14:paraId="2F25518B" w14:textId="77777777" w:rsidR="002B49A2" w:rsidRPr="002B49A2" w:rsidRDefault="00846C6B" w:rsidP="002B49A2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846C6B">
        <w:rPr>
          <w:rFonts w:ascii="Arial" w:hAnsi="Arial" w:cs="Arial"/>
          <w:b/>
          <w:sz w:val="22"/>
        </w:rPr>
        <w:t>-Ends-</w:t>
      </w:r>
    </w:p>
    <w:p w14:paraId="45B606BB" w14:textId="77777777" w:rsidR="006D3690" w:rsidRDefault="006D3690" w:rsidP="0062784C">
      <w:pPr>
        <w:spacing w:after="0" w:line="360" w:lineRule="auto"/>
        <w:rPr>
          <w:rFonts w:ascii="Arial" w:hAnsi="Arial" w:cs="Arial"/>
          <w:b/>
          <w:szCs w:val="20"/>
        </w:rPr>
      </w:pPr>
    </w:p>
    <w:p w14:paraId="732D077A" w14:textId="77777777" w:rsidR="00846C6B" w:rsidRPr="0062784C" w:rsidRDefault="00846C6B" w:rsidP="0062784C">
      <w:pPr>
        <w:spacing w:after="0" w:line="360" w:lineRule="auto"/>
        <w:rPr>
          <w:rFonts w:ascii="Arial" w:hAnsi="Arial" w:cs="Arial"/>
          <w:szCs w:val="20"/>
        </w:rPr>
      </w:pPr>
      <w:r w:rsidRPr="00213478">
        <w:rPr>
          <w:rFonts w:ascii="Arial" w:hAnsi="Arial" w:cs="Arial"/>
          <w:b/>
          <w:szCs w:val="20"/>
        </w:rPr>
        <w:t>For media enquiries:</w:t>
      </w:r>
      <w:r w:rsidR="0062784C">
        <w:rPr>
          <w:rFonts w:ascii="Arial" w:hAnsi="Arial" w:cs="Arial"/>
          <w:b/>
          <w:szCs w:val="20"/>
        </w:rPr>
        <w:tab/>
      </w:r>
      <w:r w:rsidR="0062784C">
        <w:rPr>
          <w:rFonts w:ascii="Arial" w:hAnsi="Arial" w:cs="Arial"/>
          <w:b/>
          <w:szCs w:val="20"/>
        </w:rPr>
        <w:tab/>
      </w:r>
      <w:r w:rsidR="0062784C">
        <w:rPr>
          <w:rFonts w:ascii="Arial" w:hAnsi="Arial" w:cs="Arial"/>
          <w:b/>
          <w:szCs w:val="20"/>
        </w:rPr>
        <w:tab/>
      </w:r>
      <w:r w:rsidR="0062784C">
        <w:rPr>
          <w:rFonts w:ascii="Arial" w:hAnsi="Arial" w:cs="Arial"/>
          <w:b/>
          <w:szCs w:val="20"/>
        </w:rPr>
        <w:tab/>
      </w:r>
      <w:r w:rsidR="0062784C">
        <w:rPr>
          <w:rFonts w:ascii="Arial" w:hAnsi="Arial" w:cs="Arial"/>
          <w:b/>
          <w:szCs w:val="20"/>
        </w:rPr>
        <w:tab/>
      </w:r>
      <w:r w:rsidR="0062784C" w:rsidRPr="00213478">
        <w:rPr>
          <w:rFonts w:ascii="Arial" w:hAnsi="Arial" w:cs="Arial"/>
          <w:b/>
          <w:szCs w:val="20"/>
        </w:rPr>
        <w:t>For all other enquiries:</w:t>
      </w:r>
    </w:p>
    <w:p w14:paraId="2184C178" w14:textId="77777777" w:rsidR="00846C6B" w:rsidRPr="00213478" w:rsidRDefault="00846C6B" w:rsidP="0062784C">
      <w:pPr>
        <w:spacing w:after="0" w:line="360" w:lineRule="auto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 xml:space="preserve">Aimen Chouchane </w:t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  <w:t>Andrew Hill</w:t>
      </w:r>
    </w:p>
    <w:p w14:paraId="7CFECCAA" w14:textId="77777777" w:rsidR="00846C6B" w:rsidRPr="00213478" w:rsidRDefault="00846C6B" w:rsidP="0062784C">
      <w:pPr>
        <w:spacing w:after="0" w:line="360" w:lineRule="auto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>+44 (0) 203 617 7239</w:t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</w:r>
      <w:r w:rsidR="0062784C">
        <w:rPr>
          <w:rFonts w:ascii="Arial" w:hAnsi="Arial" w:cs="Arial"/>
          <w:szCs w:val="20"/>
        </w:rPr>
        <w:tab/>
        <w:t>+44 (0) 208 423 7127</w:t>
      </w:r>
    </w:p>
    <w:p w14:paraId="55FE9F2D" w14:textId="77777777" w:rsidR="0062784C" w:rsidRDefault="00AF5948" w:rsidP="0062784C">
      <w:pPr>
        <w:spacing w:after="0" w:line="360" w:lineRule="auto"/>
        <w:rPr>
          <w:rFonts w:ascii="Arial" w:hAnsi="Arial" w:cs="Arial"/>
          <w:color w:val="C00000"/>
          <w:szCs w:val="20"/>
        </w:rPr>
      </w:pPr>
      <w:hyperlink r:id="rId14" w:history="1">
        <w:r w:rsidR="0062784C" w:rsidRPr="003224C9">
          <w:rPr>
            <w:rStyle w:val="Hyperlink"/>
            <w:rFonts w:cs="Arial"/>
            <w:sz w:val="20"/>
            <w:szCs w:val="20"/>
          </w:rPr>
          <w:t>jatoteam@firstlightpr.com</w:t>
        </w:r>
      </w:hyperlink>
      <w:r w:rsidR="0062784C">
        <w:rPr>
          <w:rFonts w:ascii="Arial" w:hAnsi="Arial" w:cs="Arial"/>
          <w:color w:val="C00000"/>
          <w:szCs w:val="20"/>
        </w:rPr>
        <w:tab/>
      </w:r>
      <w:r w:rsidR="0062784C">
        <w:rPr>
          <w:rFonts w:ascii="Arial" w:hAnsi="Arial" w:cs="Arial"/>
          <w:color w:val="C00000"/>
          <w:szCs w:val="20"/>
        </w:rPr>
        <w:tab/>
      </w:r>
      <w:r w:rsidR="0062784C">
        <w:rPr>
          <w:rFonts w:ascii="Arial" w:hAnsi="Arial" w:cs="Arial"/>
          <w:color w:val="C00000"/>
          <w:szCs w:val="20"/>
        </w:rPr>
        <w:tab/>
      </w:r>
      <w:r w:rsidR="0062784C">
        <w:rPr>
          <w:rFonts w:ascii="Arial" w:hAnsi="Arial" w:cs="Arial"/>
          <w:color w:val="C00000"/>
          <w:szCs w:val="20"/>
        </w:rPr>
        <w:tab/>
      </w:r>
      <w:hyperlink r:id="rId15" w:history="1">
        <w:r w:rsidR="0062784C" w:rsidRPr="003224C9">
          <w:rPr>
            <w:rStyle w:val="Hyperlink"/>
            <w:rFonts w:cs="Arial"/>
            <w:sz w:val="20"/>
            <w:szCs w:val="20"/>
          </w:rPr>
          <w:t>pr@jato.com</w:t>
        </w:r>
      </w:hyperlink>
    </w:p>
    <w:p w14:paraId="242D6049" w14:textId="77777777" w:rsidR="002B49A2" w:rsidRPr="00A6485D" w:rsidRDefault="002B49A2" w:rsidP="002B49A2">
      <w:pPr>
        <w:spacing w:after="0" w:line="240" w:lineRule="auto"/>
        <w:rPr>
          <w:rFonts w:ascii="Arial" w:hAnsi="Arial" w:cs="Arial"/>
          <w:color w:val="C00000"/>
          <w:szCs w:val="20"/>
        </w:rPr>
      </w:pPr>
    </w:p>
    <w:p w14:paraId="7BD38950" w14:textId="77777777" w:rsidR="00846C6B" w:rsidRPr="00213478" w:rsidRDefault="00846C6B" w:rsidP="00846C6B">
      <w:pPr>
        <w:jc w:val="both"/>
        <w:rPr>
          <w:rFonts w:ascii="Arial" w:hAnsi="Arial" w:cs="Arial"/>
          <w:b/>
          <w:szCs w:val="20"/>
        </w:rPr>
      </w:pPr>
      <w:r w:rsidRPr="00213478">
        <w:rPr>
          <w:rFonts w:ascii="Arial" w:hAnsi="Arial" w:cs="Arial"/>
          <w:b/>
          <w:szCs w:val="20"/>
        </w:rPr>
        <w:t xml:space="preserve">You can now follow JATO on </w:t>
      </w:r>
      <w:hyperlink r:id="rId16" w:history="1">
        <w:r w:rsidRPr="00213478">
          <w:rPr>
            <w:rStyle w:val="Hyperlink"/>
            <w:rFonts w:cs="Arial"/>
            <w:b/>
            <w:szCs w:val="20"/>
          </w:rPr>
          <w:t>LinkedIn</w:t>
        </w:r>
      </w:hyperlink>
      <w:r w:rsidRPr="00213478">
        <w:rPr>
          <w:rFonts w:ascii="Arial" w:hAnsi="Arial" w:cs="Arial"/>
          <w:b/>
          <w:szCs w:val="20"/>
        </w:rPr>
        <w:t xml:space="preserve"> and </w:t>
      </w:r>
      <w:hyperlink r:id="rId17" w:history="1">
        <w:r w:rsidRPr="00213478">
          <w:rPr>
            <w:rStyle w:val="Hyperlink"/>
            <w:rFonts w:cs="Arial"/>
            <w:b/>
            <w:szCs w:val="20"/>
          </w:rPr>
          <w:t>Twitter</w:t>
        </w:r>
      </w:hyperlink>
      <w:r w:rsidRPr="00213478">
        <w:rPr>
          <w:rFonts w:ascii="Arial" w:hAnsi="Arial" w:cs="Arial"/>
          <w:b/>
          <w:szCs w:val="20"/>
        </w:rPr>
        <w:t xml:space="preserve"> (</w:t>
      </w:r>
      <w:hyperlink r:id="rId18" w:history="1">
        <w:r w:rsidRPr="00213478">
          <w:rPr>
            <w:rStyle w:val="Hyperlink"/>
            <w:rFonts w:cs="Arial"/>
            <w:b/>
            <w:szCs w:val="20"/>
          </w:rPr>
          <w:t>@JATO_Dynamics</w:t>
        </w:r>
      </w:hyperlink>
      <w:r w:rsidRPr="00213478">
        <w:rPr>
          <w:rFonts w:ascii="Arial" w:hAnsi="Arial" w:cs="Arial"/>
          <w:b/>
          <w:szCs w:val="20"/>
        </w:rPr>
        <w:t>)</w:t>
      </w:r>
      <w:r w:rsidRPr="008F13FB">
        <w:rPr>
          <w:rFonts w:ascii="Arial" w:hAnsi="Arial" w:cs="Arial"/>
          <w:szCs w:val="20"/>
        </w:rPr>
        <w:t>.</w:t>
      </w:r>
    </w:p>
    <w:p w14:paraId="4322D167" w14:textId="77777777" w:rsidR="00846C6B" w:rsidRPr="00213478" w:rsidRDefault="00846C6B" w:rsidP="00846C6B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213478">
        <w:rPr>
          <w:rFonts w:ascii="Arial" w:hAnsi="Arial" w:cs="Arial"/>
          <w:b/>
          <w:szCs w:val="20"/>
        </w:rPr>
        <w:lastRenderedPageBreak/>
        <w:t>About JATO</w:t>
      </w:r>
    </w:p>
    <w:p w14:paraId="29C825ED" w14:textId="77777777" w:rsidR="00846C6B" w:rsidRPr="00213478" w:rsidRDefault="00846C6B" w:rsidP="00D70FCD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>JATO was founded in 1984 and provides the world’s most timely, accurate and up-to-date information on vehicle specifications and pricing, sales and regis</w:t>
      </w:r>
      <w:r w:rsidR="00D70FCD">
        <w:rPr>
          <w:rFonts w:ascii="Arial" w:hAnsi="Arial" w:cs="Arial"/>
          <w:szCs w:val="20"/>
        </w:rPr>
        <w:t xml:space="preserve">trations, news and incentives. </w:t>
      </w:r>
    </w:p>
    <w:p w14:paraId="7E63AFD7" w14:textId="77777777" w:rsidR="00846C6B" w:rsidRPr="00213478" w:rsidRDefault="00846C6B" w:rsidP="00D70FCD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>The company has representation in over 40 countries, providing unique local market expertise. The JATO client base includes all of the world’s volume vehicle manufacturers; giving them the ability to react to short-term market movements, plan for long-term developments and ultim</w:t>
      </w:r>
      <w:r w:rsidR="00D70FCD">
        <w:rPr>
          <w:rFonts w:ascii="Arial" w:hAnsi="Arial" w:cs="Arial"/>
          <w:szCs w:val="20"/>
        </w:rPr>
        <w:t>ately to meet consumers’ needs.</w:t>
      </w:r>
    </w:p>
    <w:p w14:paraId="515DB487" w14:textId="77777777" w:rsidR="00C94331" w:rsidRDefault="00C94331" w:rsidP="008F59DC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12E38EC4" w14:textId="77777777" w:rsidR="00846C6B" w:rsidRPr="00213478" w:rsidRDefault="00846C6B" w:rsidP="00D70FCD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>JATO’s intelligence has also been adapted for consumer use in motoring web portals where customers can see the advantages and disadvantages of a specifi</w:t>
      </w:r>
      <w:r w:rsidR="00D70FCD">
        <w:rPr>
          <w:rFonts w:ascii="Arial" w:hAnsi="Arial" w:cs="Arial"/>
          <w:szCs w:val="20"/>
        </w:rPr>
        <w:t>ed model against any other.</w:t>
      </w:r>
    </w:p>
    <w:p w14:paraId="3EE8A203" w14:textId="77777777" w:rsidR="00846C6B" w:rsidRPr="00213478" w:rsidRDefault="00846C6B" w:rsidP="00D70FCD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>Major leasing companies use JATO’s intelligence to drive</w:t>
      </w:r>
      <w:r w:rsidR="00D70FCD">
        <w:rPr>
          <w:rFonts w:ascii="Arial" w:hAnsi="Arial" w:cs="Arial"/>
          <w:szCs w:val="20"/>
        </w:rPr>
        <w:t xml:space="preserve"> the vehicle quotation process.</w:t>
      </w:r>
    </w:p>
    <w:p w14:paraId="7D9C1864" w14:textId="77777777" w:rsidR="00846C6B" w:rsidRPr="00213478" w:rsidRDefault="00846C6B" w:rsidP="00D70FCD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szCs w:val="20"/>
        </w:rPr>
        <w:t xml:space="preserve">Visit JATO at </w:t>
      </w:r>
      <w:hyperlink r:id="rId19" w:history="1">
        <w:r w:rsidRPr="00213478">
          <w:rPr>
            <w:rStyle w:val="Hyperlink"/>
            <w:rFonts w:cs="Arial"/>
            <w:szCs w:val="20"/>
          </w:rPr>
          <w:t>www.jato.com</w:t>
        </w:r>
      </w:hyperlink>
      <w:r w:rsidR="00D70FCD">
        <w:rPr>
          <w:rFonts w:ascii="Arial" w:hAnsi="Arial" w:cs="Arial"/>
          <w:szCs w:val="20"/>
        </w:rPr>
        <w:t xml:space="preserve"> for more information.</w:t>
      </w:r>
    </w:p>
    <w:p w14:paraId="6860A338" w14:textId="77777777" w:rsidR="00846C6B" w:rsidRPr="00213478" w:rsidRDefault="00846C6B" w:rsidP="00846C6B">
      <w:pPr>
        <w:spacing w:line="360" w:lineRule="auto"/>
        <w:jc w:val="both"/>
        <w:rPr>
          <w:rFonts w:ascii="Arial" w:hAnsi="Arial" w:cs="Arial"/>
          <w:szCs w:val="20"/>
        </w:rPr>
      </w:pPr>
      <w:r w:rsidRPr="00213478">
        <w:rPr>
          <w:rFonts w:ascii="Arial" w:hAnsi="Arial" w:cs="Arial"/>
          <w:b/>
          <w:szCs w:val="20"/>
        </w:rPr>
        <w:t>For media use only.</w:t>
      </w:r>
      <w:r w:rsidRPr="00213478">
        <w:rPr>
          <w:rFonts w:ascii="Arial" w:hAnsi="Arial" w:cs="Arial"/>
          <w:szCs w:val="20"/>
        </w:rPr>
        <w:t xml:space="preserve"> Advertising and/or any other promotional use of the information contained within this release must be pre-agreed with JATO Dynamics Ltd. </w:t>
      </w:r>
    </w:p>
    <w:p w14:paraId="5E6294F3" w14:textId="77777777" w:rsidR="00846C6B" w:rsidRDefault="00846C6B" w:rsidP="00846C6B">
      <w:pPr>
        <w:rPr>
          <w:b/>
          <w:sz w:val="22"/>
        </w:rPr>
      </w:pPr>
    </w:p>
    <w:p w14:paraId="06F926EA" w14:textId="77777777" w:rsidR="00846C6B" w:rsidRDefault="00846C6B" w:rsidP="00846C6B">
      <w:pPr>
        <w:jc w:val="both"/>
        <w:rPr>
          <w:rFonts w:ascii="Arial" w:hAnsi="Arial" w:cs="Arial"/>
          <w:b/>
          <w:szCs w:val="20"/>
        </w:rPr>
      </w:pPr>
    </w:p>
    <w:p w14:paraId="1F56A36B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59C8137D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6BA09785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0AE1C5DA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126FEB7A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6AA97265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01968D0C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07ADBE9C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2F761175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5F888FFA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1508638B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7DDF9512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0566E1FB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56F81932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06EB8A27" w14:textId="77777777" w:rsidR="00D70FCD" w:rsidRDefault="00D70FCD" w:rsidP="00846C6B">
      <w:pPr>
        <w:jc w:val="both"/>
        <w:rPr>
          <w:rFonts w:ascii="Arial" w:hAnsi="Arial" w:cs="Arial"/>
          <w:b/>
          <w:szCs w:val="20"/>
        </w:rPr>
      </w:pPr>
    </w:p>
    <w:p w14:paraId="151FBEBB" w14:textId="77777777" w:rsidR="008F59DC" w:rsidRDefault="008F59DC" w:rsidP="00846C6B">
      <w:pPr>
        <w:rPr>
          <w:rFonts w:ascii="Arial" w:hAnsi="Arial" w:cs="Arial"/>
          <w:b/>
          <w:sz w:val="22"/>
        </w:rPr>
      </w:pPr>
    </w:p>
    <w:p w14:paraId="7DE4C720" w14:textId="77777777" w:rsidR="00846C6B" w:rsidRPr="004416F3" w:rsidRDefault="00846C6B" w:rsidP="00846C6B">
      <w:pPr>
        <w:rPr>
          <w:b/>
          <w:sz w:val="24"/>
        </w:rPr>
      </w:pPr>
      <w:r w:rsidRPr="004416F3">
        <w:rPr>
          <w:rFonts w:ascii="Arial" w:hAnsi="Arial" w:cs="Arial"/>
          <w:b/>
          <w:sz w:val="22"/>
        </w:rPr>
        <w:lastRenderedPageBreak/>
        <w:t>Notes to editors</w:t>
      </w:r>
    </w:p>
    <w:p w14:paraId="4CB8037F" w14:textId="77777777" w:rsidR="00846C6B" w:rsidRPr="004416F3" w:rsidRDefault="00846C6B" w:rsidP="004416F3">
      <w:pPr>
        <w:spacing w:after="60"/>
        <w:rPr>
          <w:rFonts w:ascii="Arial" w:hAnsi="Arial" w:cs="Arial"/>
          <w:b/>
          <w:sz w:val="22"/>
        </w:rPr>
      </w:pPr>
      <w:r w:rsidRPr="004416F3">
        <w:rPr>
          <w:rFonts w:ascii="Arial" w:hAnsi="Arial" w:cs="Arial"/>
          <w:b/>
          <w:sz w:val="22"/>
        </w:rPr>
        <w:t>Sales by Market</w:t>
      </w: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2415"/>
        <w:gridCol w:w="992"/>
        <w:gridCol w:w="993"/>
        <w:gridCol w:w="1134"/>
        <w:gridCol w:w="992"/>
        <w:gridCol w:w="992"/>
        <w:gridCol w:w="1134"/>
      </w:tblGrid>
      <w:tr w:rsidR="007D35CE" w:rsidRPr="00662E1C" w14:paraId="5A3814D6" w14:textId="77777777" w:rsidTr="00662E1C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6AF621" w14:textId="77777777" w:rsidR="007D35CE" w:rsidRDefault="007D35CE" w:rsidP="007D35C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Country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12569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4E352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180C7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Jul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630C6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FA1E01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Jul YtD_14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5DF2CB" w14:textId="77777777" w:rsidR="007D35CE" w:rsidRDefault="007D35CE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 change YtD</w:t>
            </w:r>
          </w:p>
        </w:tc>
      </w:tr>
      <w:tr w:rsidR="00675742" w:rsidRPr="00662E1C" w14:paraId="3D6735D4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D56" w14:textId="666EFA0E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AE" w14:textId="0D073E3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125" w14:textId="3F3DD09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B6D" w14:textId="0B4363E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DD46" w14:textId="62FF1AE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6D4" w14:textId="2AC1609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909" w14:textId="51263C6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-1.5%</w:t>
            </w:r>
          </w:p>
        </w:tc>
      </w:tr>
      <w:tr w:rsidR="00675742" w:rsidRPr="00662E1C" w14:paraId="6E07B75C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B66" w14:textId="5144183B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E98A" w14:textId="2A054AB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2AC" w14:textId="126E3AD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2B86" w14:textId="5D2E74D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1C2" w14:textId="5917918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D4C" w14:textId="7BEEE3F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A77" w14:textId="0C91821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+0.4%</w:t>
            </w:r>
          </w:p>
        </w:tc>
      </w:tr>
      <w:tr w:rsidR="00675742" w:rsidRPr="00662E1C" w14:paraId="502F3838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659" w14:textId="055844B8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Croatia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CFA" w14:textId="0C1B87E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1B9" w14:textId="10B9A7E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B2B" w14:textId="6D1127E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F38" w14:textId="62760FD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EB7" w14:textId="3F3A972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53C" w14:textId="4E595FD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+2.6%</w:t>
            </w:r>
          </w:p>
        </w:tc>
      </w:tr>
      <w:tr w:rsidR="00675742" w:rsidRPr="00662E1C" w14:paraId="4F2290E2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BFD" w14:textId="12A8A5EA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Cyprus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51D" w14:textId="5897E78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8F6" w14:textId="5D1F896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D86" w14:textId="25736CB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+21.1%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473" w14:textId="1B6AC95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04A" w14:textId="1B13218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FC8" w14:textId="5920A6B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+8.1%</w:t>
            </w:r>
          </w:p>
        </w:tc>
      </w:tr>
      <w:tr w:rsidR="00675742" w:rsidRPr="00662E1C" w14:paraId="519DC3B8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726" w14:textId="12CAF109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Czech Republic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FF9" w14:textId="6A1EFCB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DFA" w14:textId="58F202E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457" w14:textId="2EF0601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+21.0%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A40" w14:textId="50E85D8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1A1" w14:textId="63D2512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1F0" w14:textId="61DE27C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+21.2%</w:t>
            </w:r>
          </w:p>
        </w:tc>
      </w:tr>
      <w:tr w:rsidR="00675742" w:rsidRPr="00662E1C" w14:paraId="4AA81476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A76" w14:textId="62E20DFA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AEF" w14:textId="310E8B4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30B" w14:textId="7332042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3A9" w14:textId="1CC0364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+13.9%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9BF" w14:textId="28704CD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592" w14:textId="229E54B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034B" w14:textId="2D4AED5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+7.1%</w:t>
            </w:r>
          </w:p>
        </w:tc>
      </w:tr>
      <w:tr w:rsidR="00675742" w:rsidRPr="00662E1C" w14:paraId="6C3D5167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FE5" w14:textId="553F542D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Estonia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38B" w14:textId="38EEC78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CAF" w14:textId="60BC269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076" w14:textId="688E46D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55F" w14:textId="5EF2FFD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392" w14:textId="378C019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B83" w14:textId="726C295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+0.8%</w:t>
            </w:r>
          </w:p>
        </w:tc>
      </w:tr>
      <w:tr w:rsidR="00675742" w:rsidRPr="00662E1C" w14:paraId="4396FC67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AD5" w14:textId="432CA902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BC2" w14:textId="31855E4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9C07" w14:textId="75A3E1E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742" w14:textId="4E6E0BC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+8.8%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A16" w14:textId="6E48988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4DE" w14:textId="7FE21E6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A54" w14:textId="174FA16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-2.0%</w:t>
            </w:r>
          </w:p>
        </w:tc>
      </w:tr>
      <w:tr w:rsidR="00675742" w:rsidRPr="00662E1C" w14:paraId="6FA67448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BA1" w14:textId="4CA9C68B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BA8" w14:textId="37E9895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E067" w14:textId="35CF1C1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71F" w14:textId="7582DBB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9F3" w14:textId="265AA27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1,164,249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228" w14:textId="5F0ACFC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8D1" w14:textId="4A2D680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+5.7%</w:t>
            </w:r>
          </w:p>
        </w:tc>
      </w:tr>
      <w:tr w:rsidR="00675742" w:rsidRPr="00662E1C" w14:paraId="6B18D406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FD2" w14:textId="5C92221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A43" w14:textId="250294C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290,196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031" w14:textId="23783A6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5F4" w14:textId="738580D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66C" w14:textId="658EA89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1,909,145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3B2" w14:textId="0466AF7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1,808,517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42D" w14:textId="2FA3AF2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+5.6%</w:t>
            </w:r>
          </w:p>
        </w:tc>
      </w:tr>
      <w:tr w:rsidR="00675742" w:rsidRPr="00662E1C" w14:paraId="4DE23B49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46E" w14:textId="71F92CE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4952" w14:textId="2807174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B99" w14:textId="574558F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7E3" w14:textId="6CE9AAD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7FE" w14:textId="236BB5F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1,555,309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4E3" w14:textId="5DF9396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460" w14:textId="7A5CC8F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+6.5%</w:t>
            </w:r>
          </w:p>
        </w:tc>
      </w:tr>
      <w:tr w:rsidR="00675742" w:rsidRPr="00662E1C" w14:paraId="14FCE223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323" w14:textId="1B9D9273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AD4" w14:textId="5CB7AD5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D43" w14:textId="2A54080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6F" w14:textId="57BC856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-30.8%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BD13" w14:textId="0A0BA2E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E38" w14:textId="03BF67A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CA6" w14:textId="44FC1F7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+7.9%</w:t>
            </w:r>
          </w:p>
        </w:tc>
      </w:tr>
      <w:tr w:rsidR="00675742" w:rsidRPr="00662E1C" w14:paraId="7A361D20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66C" w14:textId="1716F7CD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Hungary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F6E" w14:textId="493F155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2C5" w14:textId="7C8A448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0F1" w14:textId="53C6784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+13.3%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24A" w14:textId="450C54F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AB9" w14:textId="0F0E3CB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CE2" w14:textId="17399F7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+11.8%</w:t>
            </w:r>
          </w:p>
        </w:tc>
      </w:tr>
      <w:tr w:rsidR="00675742" w:rsidRPr="00662E1C" w14:paraId="2A460B71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938" w14:textId="00143946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5D0" w14:textId="65FFE5F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671" w14:textId="68FFF0E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AA4" w14:textId="251A782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+47.6%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409" w14:textId="5EC014D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86B" w14:textId="6EEE94D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830" w14:textId="7641E85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+30.3%</w:t>
            </w:r>
          </w:p>
        </w:tc>
      </w:tr>
      <w:tr w:rsidR="00675742" w:rsidRPr="00662E1C" w14:paraId="1AF2BFB7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725" w14:textId="6147D3BC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003" w14:textId="6A418D3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0AB" w14:textId="4CC4A39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A71" w14:textId="2DD859C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+14.6%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796" w14:textId="67AB97B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1,008,656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CF7" w14:textId="3BEF52B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A04" w14:textId="018FE3D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+15.0%</w:t>
            </w:r>
          </w:p>
        </w:tc>
      </w:tr>
      <w:tr w:rsidR="00675742" w:rsidRPr="00662E1C" w14:paraId="60B0EDB9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529" w14:textId="1D81432F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340" w14:textId="754CE5C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C3BF" w14:textId="7D4F5B7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387" w14:textId="5241DBC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447" w14:textId="657EDB8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F04A" w14:textId="42CC4D2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F13" w14:textId="4A18E37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+10.4%</w:t>
            </w:r>
          </w:p>
        </w:tc>
      </w:tr>
      <w:tr w:rsidR="00675742" w:rsidRPr="00662E1C" w14:paraId="5FB41A5C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B988" w14:textId="68682AB9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Lithuania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2C0" w14:textId="3AC4215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2C5" w14:textId="5EE2156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C12" w14:textId="5C33FBB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AB2" w14:textId="5732D29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7AF" w14:textId="0CF4273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FF5" w14:textId="2DAB52E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+15.2%</w:t>
            </w:r>
          </w:p>
        </w:tc>
      </w:tr>
      <w:tr w:rsidR="00675742" w:rsidRPr="00662E1C" w14:paraId="6EA0BF40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BE4" w14:textId="04F593AA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Luxembourg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5F4" w14:textId="7F3C330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075" w14:textId="5F9C8F5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B39" w14:textId="52EDE54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-3.2%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0C8" w14:textId="7F30E07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F8B" w14:textId="0E0A322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487" w14:textId="6CD9586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-5.1%</w:t>
            </w:r>
          </w:p>
        </w:tc>
      </w:tr>
      <w:tr w:rsidR="00675742" w:rsidRPr="00662E1C" w14:paraId="539CC787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CC8" w14:textId="42856571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91A" w14:textId="712C1AF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91F" w14:textId="1067DE4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975" w14:textId="7B5C28E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9D7B" w14:textId="530719A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AD1" w14:textId="4337A46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350" w14:textId="4F4FC76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+3.4%</w:t>
            </w:r>
          </w:p>
        </w:tc>
      </w:tr>
      <w:tr w:rsidR="00675742" w:rsidRPr="00662E1C" w14:paraId="340559D6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C5C" w14:textId="63C04547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8DA" w14:textId="3198323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E75" w14:textId="1A53312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17D" w14:textId="76CC357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+16.0%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9F0" w14:textId="3F2ECCD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487F" w14:textId="1D0815E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27F3" w14:textId="6610B2B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+16.1%</w:t>
            </w:r>
          </w:p>
        </w:tc>
      </w:tr>
      <w:tr w:rsidR="00675742" w:rsidRPr="00662E1C" w14:paraId="7AE257E8" w14:textId="77777777" w:rsidTr="00120FB5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84C" w14:textId="015C8A1D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787B" w14:textId="6E91DEA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DD99" w14:textId="15B8C33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2B66" w14:textId="08D162B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+19.8%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A26C" w14:textId="2DF3C38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62E" w14:textId="66DF564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2098" w14:textId="3C963B4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+30.8%</w:t>
            </w:r>
          </w:p>
        </w:tc>
      </w:tr>
      <w:tr w:rsidR="00675742" w:rsidRPr="00662E1C" w14:paraId="0E33DF81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6AD" w14:textId="4D0124A8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D62" w14:textId="4861176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A69C" w14:textId="56295E7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660" w14:textId="4571A49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A90" w14:textId="25CAC8D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930" w14:textId="5EC8A12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D16" w14:textId="492F7FB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+10.4%</w:t>
            </w:r>
          </w:p>
        </w:tc>
      </w:tr>
      <w:tr w:rsidR="00675742" w:rsidRPr="00662E1C" w14:paraId="6F442323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AA9" w14:textId="15CDEEDC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Serbia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B72" w14:textId="7E49B764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F63D" w14:textId="3972E55C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A59" w14:textId="307968CF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-4.5%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94C" w14:textId="42226B1F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4E98" w14:textId="3392E565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9B8" w14:textId="67515521" w:rsidR="00675742" w:rsidRPr="00574DDE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-0.5%</w:t>
            </w:r>
          </w:p>
        </w:tc>
      </w:tr>
      <w:tr w:rsidR="00675742" w:rsidRPr="00662E1C" w14:paraId="65CC7178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A1D" w14:textId="2D4D711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Slovakia*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2E0" w14:textId="409AB07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B21" w14:textId="397A98F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696" w14:textId="511666C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D3D" w14:textId="433743C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158" w14:textId="7D90E07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20B" w14:textId="4733E41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+2.9%</w:t>
            </w:r>
          </w:p>
        </w:tc>
      </w:tr>
      <w:tr w:rsidR="00675742" w:rsidRPr="00662E1C" w14:paraId="4FFB24E0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400" w14:textId="206AB055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40F" w14:textId="436420F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832" w14:textId="78FA246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A59" w14:textId="29D1D9E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D6A" w14:textId="12BC3D3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042" w14:textId="2DA297F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906" w14:textId="1413685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+12.5%</w:t>
            </w:r>
          </w:p>
        </w:tc>
      </w:tr>
      <w:tr w:rsidR="00675742" w:rsidRPr="00662E1C" w14:paraId="09FE24AC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79F7" w14:textId="64FD7AC5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BB4" w14:textId="3904E53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5B6" w14:textId="2F75EA8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18F" w14:textId="735A693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+23.7%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7A4" w14:textId="696E87F0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D5D" w14:textId="564B3E5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A01" w14:textId="392DD264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+22.2%</w:t>
            </w:r>
          </w:p>
        </w:tc>
      </w:tr>
      <w:tr w:rsidR="00675742" w:rsidRPr="00662E1C" w14:paraId="3B8324DD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B25" w14:textId="7E0BD6E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148" w14:textId="40FF87F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DEF" w14:textId="625BD1B8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4D6" w14:textId="7052C5E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+17.9%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342" w14:textId="689DDF69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9B0" w14:textId="470D18E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F31" w14:textId="7506485A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+11.6%</w:t>
            </w:r>
          </w:p>
        </w:tc>
      </w:tr>
      <w:tr w:rsidR="00675742" w:rsidRPr="00662E1C" w14:paraId="6489E0F5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18DD" w14:textId="2091AE9D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350" w14:textId="4E9F8B0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369" w14:textId="182F0E5D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AB2" w14:textId="18460296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C40005"/>
                <w:sz w:val="16"/>
                <w:szCs w:val="16"/>
              </w:rPr>
            </w:pPr>
            <w:r>
              <w:rPr>
                <w:rFonts w:ascii="Arial" w:hAnsi="Arial" w:cs="Arial"/>
                <w:color w:val="C40005"/>
                <w:sz w:val="16"/>
                <w:szCs w:val="16"/>
              </w:rPr>
              <w:t>-3.0%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98E" w14:textId="6E88AAB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CBA" w14:textId="64D47F71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1A1" w14:textId="32648C4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+5.8%</w:t>
            </w:r>
          </w:p>
        </w:tc>
      </w:tr>
      <w:tr w:rsidR="00675742" w:rsidRPr="00662E1C" w14:paraId="73963D53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E2F" w14:textId="4B03511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Netherlands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91F" w14:textId="7B2C2BEE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F02" w14:textId="1B85700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3E9" w14:textId="43D46C8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+12.2%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96B9" w14:textId="0ABDC81C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265" w14:textId="37D6B51F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88B4" w14:textId="6E86A21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+2.0%</w:t>
            </w:r>
          </w:p>
        </w:tc>
      </w:tr>
      <w:tr w:rsidR="00675742" w:rsidRPr="00662E1C" w14:paraId="3E556F2E" w14:textId="77777777" w:rsidTr="00662E1C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65BB947B" w14:textId="04052AE0" w:rsidR="00675742" w:rsidRDefault="00675742" w:rsidP="007D35C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683C3249" w14:textId="29A52E0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1,180,078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6862012B" w14:textId="77240B12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1,082,942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12D3C8FB" w14:textId="21A32CF7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+9.1%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61D21069" w14:textId="12522525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8,595,528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52CC7412" w14:textId="48E8BB23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7,916,509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9598"/>
            <w:noWrap/>
            <w:vAlign w:val="bottom"/>
            <w:hideMark/>
          </w:tcPr>
          <w:p w14:paraId="088DADE9" w14:textId="376D547B" w:rsidR="00675742" w:rsidRDefault="00675742" w:rsidP="007D35CE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+8.6%</w:t>
            </w:r>
          </w:p>
        </w:tc>
      </w:tr>
    </w:tbl>
    <w:p w14:paraId="20E29B51" w14:textId="06CE9738" w:rsidR="00675742" w:rsidRPr="007D35CE" w:rsidRDefault="00675742" w:rsidP="00675742">
      <w:pPr>
        <w:spacing w:before="120" w:after="120" w:line="48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NOTE: </w:t>
      </w:r>
      <w:r w:rsidRPr="007D35CE">
        <w:rPr>
          <w:rFonts w:ascii="Arial" w:hAnsi="Arial" w:cs="Arial"/>
          <w:i/>
          <w:sz w:val="18"/>
        </w:rPr>
        <w:t>* denotes forecast data from LMC Automotive included for Jul_15</w:t>
      </w:r>
    </w:p>
    <w:p w14:paraId="31DA1ECE" w14:textId="77777777" w:rsidR="00846C6B" w:rsidRPr="00846C6B" w:rsidRDefault="00846C6B" w:rsidP="00D479DE">
      <w:pPr>
        <w:spacing w:after="120" w:line="480" w:lineRule="auto"/>
        <w:rPr>
          <w:rFonts w:ascii="Arial" w:hAnsi="Arial" w:cs="Arial"/>
          <w:i/>
          <w:sz w:val="22"/>
        </w:rPr>
      </w:pPr>
    </w:p>
    <w:p w14:paraId="17DC91CA" w14:textId="77777777" w:rsidR="00846C6B" w:rsidRPr="00846C6B" w:rsidRDefault="00846C6B" w:rsidP="00D479DE">
      <w:pPr>
        <w:spacing w:after="120" w:line="480" w:lineRule="auto"/>
        <w:rPr>
          <w:rFonts w:ascii="Arial" w:hAnsi="Arial" w:cs="Arial"/>
          <w:i/>
          <w:sz w:val="22"/>
        </w:rPr>
      </w:pPr>
    </w:p>
    <w:p w14:paraId="03D1BAC4" w14:textId="77777777" w:rsidR="00846C6B" w:rsidRPr="00846C6B" w:rsidRDefault="00846C6B" w:rsidP="00D479DE">
      <w:pPr>
        <w:spacing w:after="120" w:line="480" w:lineRule="auto"/>
        <w:rPr>
          <w:rFonts w:ascii="Arial" w:hAnsi="Arial" w:cs="Arial"/>
          <w:i/>
          <w:sz w:val="22"/>
        </w:rPr>
      </w:pPr>
    </w:p>
    <w:p w14:paraId="1FF6B684" w14:textId="77777777" w:rsidR="00D479DE" w:rsidRPr="00846C6B" w:rsidRDefault="00D479DE" w:rsidP="00D479DE">
      <w:pPr>
        <w:rPr>
          <w:rFonts w:ascii="Arial" w:hAnsi="Arial" w:cs="Arial"/>
        </w:rPr>
        <w:sectPr w:rsidR="00D479DE" w:rsidRPr="00846C6B" w:rsidSect="00447F92">
          <w:headerReference w:type="default" r:id="rId20"/>
          <w:headerReference w:type="first" r:id="rId21"/>
          <w:pgSz w:w="11906" w:h="16838"/>
          <w:pgMar w:top="1701" w:right="707" w:bottom="709" w:left="851" w:header="708" w:footer="708" w:gutter="0"/>
          <w:cols w:space="708"/>
          <w:titlePg/>
          <w:docGrid w:linePitch="360"/>
        </w:sectPr>
      </w:pPr>
    </w:p>
    <w:p w14:paraId="56C49A1A" w14:textId="77777777" w:rsidR="00D479DE" w:rsidRPr="00846C6B" w:rsidRDefault="00D479DE" w:rsidP="00D479DE">
      <w:pPr>
        <w:rPr>
          <w:rFonts w:ascii="Arial" w:hAnsi="Arial" w:cs="Arial"/>
        </w:rPr>
        <w:sectPr w:rsidR="00D479DE" w:rsidRPr="00846C6B" w:rsidSect="00D479DE">
          <w:type w:val="continuous"/>
          <w:pgSz w:w="11906" w:h="16838"/>
          <w:pgMar w:top="1440" w:right="566" w:bottom="1440" w:left="993" w:header="708" w:footer="708" w:gutter="0"/>
          <w:cols w:num="2" w:space="708"/>
          <w:docGrid w:linePitch="360"/>
        </w:sectPr>
      </w:pPr>
    </w:p>
    <w:p w14:paraId="4F58C178" w14:textId="77777777" w:rsidR="00FE7409" w:rsidRPr="00D70FCD" w:rsidRDefault="00FE7409">
      <w:pPr>
        <w:rPr>
          <w:rFonts w:ascii="Arial" w:hAnsi="Arial" w:cs="Arial"/>
        </w:rPr>
      </w:pPr>
    </w:p>
    <w:p w14:paraId="1B02F342" w14:textId="77777777" w:rsidR="00FE7409" w:rsidRPr="00846C6B" w:rsidRDefault="00FE7409" w:rsidP="00FE7409">
      <w:pPr>
        <w:rPr>
          <w:rFonts w:ascii="Arial" w:hAnsi="Arial" w:cs="Arial"/>
          <w:b/>
        </w:rPr>
      </w:pPr>
    </w:p>
    <w:sectPr w:rsidR="00FE7409" w:rsidRPr="00846C6B" w:rsidSect="00D479DE">
      <w:type w:val="continuous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81D90" w14:textId="77777777" w:rsidR="00BA1570" w:rsidRDefault="00BA1570" w:rsidP="00D479DE">
      <w:pPr>
        <w:spacing w:after="0" w:line="240" w:lineRule="auto"/>
      </w:pPr>
      <w:r>
        <w:separator/>
      </w:r>
    </w:p>
  </w:endnote>
  <w:endnote w:type="continuationSeparator" w:id="0">
    <w:p w14:paraId="47D94084" w14:textId="77777777" w:rsidR="00BA1570" w:rsidRDefault="00BA1570" w:rsidP="00D4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D534" w14:textId="77777777" w:rsidR="00BA1570" w:rsidRDefault="00BA1570" w:rsidP="00D479DE">
      <w:pPr>
        <w:spacing w:after="0" w:line="240" w:lineRule="auto"/>
      </w:pPr>
      <w:r>
        <w:separator/>
      </w:r>
    </w:p>
  </w:footnote>
  <w:footnote w:type="continuationSeparator" w:id="0">
    <w:p w14:paraId="1A4008F1" w14:textId="77777777" w:rsidR="00BA1570" w:rsidRDefault="00BA1570" w:rsidP="00D4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7BF8" w14:textId="77777777" w:rsidR="00BA1570" w:rsidRDefault="00BA157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FC9B1F4" wp14:editId="57BCC2CB">
          <wp:simplePos x="0" y="0"/>
          <wp:positionH relativeFrom="page">
            <wp:posOffset>5556250</wp:posOffset>
          </wp:positionH>
          <wp:positionV relativeFrom="page">
            <wp:posOffset>326390</wp:posOffset>
          </wp:positionV>
          <wp:extent cx="1692275" cy="454660"/>
          <wp:effectExtent l="0" t="0" r="3175" b="2540"/>
          <wp:wrapTight wrapText="bothSides">
            <wp:wrapPolygon edited="0">
              <wp:start x="0" y="0"/>
              <wp:lineTo x="0" y="20816"/>
              <wp:lineTo x="21397" y="20816"/>
              <wp:lineTo x="2139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_JATO_Logo_Primary (Black Wordmark)_RGB (Without Strapli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89C7D3" wp14:editId="63C3E0F0">
              <wp:simplePos x="0" y="0"/>
              <wp:positionH relativeFrom="page">
                <wp:posOffset>486674</wp:posOffset>
              </wp:positionH>
              <wp:positionV relativeFrom="page">
                <wp:posOffset>1027430</wp:posOffset>
              </wp:positionV>
              <wp:extent cx="6696075" cy="0"/>
              <wp:effectExtent l="0" t="19050" r="9525" b="3810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8.3pt;margin-top:80.9pt;width:5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uYIgIAAD0EAAAOAAAAZHJzL2Uyb0RvYy54bWysU8GO2jAQvVfqP1i5QxIIgUSE1SqBXrYt&#10;0m4/wNhOYjWxLdsQUNV/79gQxLaXqurFGWdm3ryZeV4/nfsOnZg2XIoiiKdRgJggknLRFMG3t91k&#10;FSBjsaC4k4IVwYWZ4Gnz8cN6UDmbyVZ2lGkEIMLkgyqC1lqVh6EhLeuxmUrFBDhrqXts4aqbkGo8&#10;AHrfhbMoSsNBaqq0JMwY+FtdncHG49c1I/ZrXRtmUVcEwM36U/vz4M5ws8Z5o7FqObnRwP/Aosdc&#10;QNE7VIUtRkfN/4DqOdHSyNpOiexDWdecMN8DdBNHv3Xz2mLFfC8wHKPuYzL/D5Z8Oe014rQIFgES&#10;uIcVPR+t9JVRPHfzGZTJIawUe+06JGfxql4k+W6QkGWLRcN89NtFQXLsMsJ3Ke5iFFQ5DJ8lhRgM&#10;BfywzrXuHSSMAZ39Ti73nbCzRQR+pmmWRksgR0ZfiPMxUWljPzHZI2cUgbEa86a1pRQCNi917Mvg&#10;04uxjhbOxwRXVcgd7zovgE6gASawjBeRzzCy49R5XZzRzaHsNDph0FA2zxbZyjcJnscwLY+CerSW&#10;Ybq92Rbz7mpD9U44POgM+Nysq0h+ZFG2XW1XySSZpdtJElXV5HlXJpN0Fy8X1bwqyyr+6ajFSd5y&#10;Splw7EbBxsnfCeL2dK5Su0v2PofwPbofGJAdv560X63b5lUXB0kvez2uHDTqg2/vyT2CxzvYj69+&#10;8wsAAP//AwBQSwMEFAAGAAgAAAAhAIdZOsbbAAAACwEAAA8AAABkcnMvZG93bnJldi54bWxMj0FL&#10;xDAQhe+C/yGM4M1Ns0JdatNFBD0IHlzF82wzNq1NUpJ0t/rrnQVBj/Pmmzfv1dvFjeJAMfXBa1Cr&#10;AgT5NpjedxreXh+uNiBSRm9wDJ40fFGCbXN+VmNlwtG/0GGXO8EmPlWoweY8VVKm1pLDtAoTed59&#10;hOgw8xg7aSIe2dyNcl0UpXTYe/5gcaJ7S+3nbnYc453mYcBN94zr6Sn2w/Bo8Vvry4vl7hZEpiX/&#10;wXCKzzfQcKZ9mL1JYtRwU5ZMsl4qrnAC1LVSIPa/kmxq+b9D8wMAAP//AwBQSwECLQAUAAYACAAA&#10;ACEAtoM4kv4AAADhAQAAEwAAAAAAAAAAAAAAAAAAAAAAW0NvbnRlbnRfVHlwZXNdLnhtbFBLAQIt&#10;ABQABgAIAAAAIQA4/SH/1gAAAJQBAAALAAAAAAAAAAAAAAAAAC8BAABfcmVscy8ucmVsc1BLAQIt&#10;ABQABgAIAAAAIQDLURuYIgIAAD0EAAAOAAAAAAAAAAAAAAAAAC4CAABkcnMvZTJvRG9jLnhtbFBL&#10;AQItABQABgAIAAAAIQCHWTrG2wAAAAsBAAAPAAAAAAAAAAAAAAAAAHwEAABkcnMvZG93bnJldi54&#10;bWxQSwUGAAAAAAQABADzAAAAhAUAAAAA&#10;" strokecolor="#939598" strokeweight="4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39E0" w14:textId="77777777" w:rsidR="00BA1570" w:rsidRDefault="00BA1570">
    <w:pPr>
      <w:pStyle w:val="Header"/>
    </w:pPr>
    <w:r>
      <w:rPr>
        <w:rFonts w:cs="Arial"/>
        <w:noProof/>
        <w:kern w:val="32"/>
        <w:sz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6C99379E" wp14:editId="4CF79FD5">
          <wp:simplePos x="0" y="0"/>
          <wp:positionH relativeFrom="page">
            <wp:posOffset>5531485</wp:posOffset>
          </wp:positionH>
          <wp:positionV relativeFrom="page">
            <wp:posOffset>300990</wp:posOffset>
          </wp:positionV>
          <wp:extent cx="1801495" cy="623570"/>
          <wp:effectExtent l="0" t="0" r="8255" b="5080"/>
          <wp:wrapTight wrapText="bothSides">
            <wp:wrapPolygon edited="0">
              <wp:start x="0" y="0"/>
              <wp:lineTo x="0" y="21116"/>
              <wp:lineTo x="21471" y="21116"/>
              <wp:lineTo x="2147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TO_RGB_LOGO&amp;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2BB9CE6" wp14:editId="027EFA53">
              <wp:simplePos x="0" y="0"/>
              <wp:positionH relativeFrom="page">
                <wp:posOffset>548376</wp:posOffset>
              </wp:positionH>
              <wp:positionV relativeFrom="page">
                <wp:posOffset>1019810</wp:posOffset>
              </wp:positionV>
              <wp:extent cx="6696075" cy="0"/>
              <wp:effectExtent l="0" t="19050" r="9525" b="3810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3.2pt;margin-top:80.3pt;width:52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JLIwIAAD0EAAAOAAAAZHJzL2Uyb0RvYy54bWysU02P2yAQvVfqf0DcE9v5thVntbKTXrZt&#10;pN3+AALYRrUBAYkTVf3vHUgcZdtLVfWCB8/Mmzczj/XTuWvRiRsrlMxxMo4x4pIqJmSd429vu9EK&#10;I+uIZKRVkuf4wi1+2nz8sO51xieqUS3jBgGItFmvc9w4p7MosrThHbFjpbkEZ6VMRxxcTR0xQ3pA&#10;79poEseLqFeGaaMotxb+llcn3gT8quLUfa0qyx1qcwzcXDhNOA/+jDZrktWG6EbQGw3yDyw6IiQU&#10;vUOVxBF0NOIPqE5Qo6yq3JiqLlJVJSgPPUA3SfxbN68N0Tz0AsOx+j4m+/9g6ZfT3iDBcgyLkqSD&#10;FT0fnQqVUTL18+m1zSCskHvjO6Rn+apfFP1ukVRFQ2TNQ/TbRUNy4jOidyn+YjVUOfSfFYMYAgXC&#10;sM6V6TwkjAGdw04u953ws0MUfi4W6SJezjGigy8i2ZCojXWfuOqQN3JsnSGiblyhpITNK5OEMuT0&#10;Yp2nRbIhwVeVaifaNgiglajP8XyZzOOQYVUrmPf6OGvqQ9EadCKgoXSaztNVaBI8j2FGHSULaA0n&#10;bHuzHRHt1YbqrfR40BnwuVlXkfxI43S72q5mo9lksR3N4rIcPe+K2WixS5bzcloWRZn89NSSWdYI&#10;xrj07AbBJrO/E8Tt6VyldpfsfQ7Re/QwMCA7fAPpsFq/zasuDopd9mZYOWg0BN/ek38Ej3ewH1/9&#10;5hcAAAD//wMAUEsDBBQABgAIAAAAIQB9p+3n3QAAAAsBAAAPAAAAZHJzL2Rvd25yZXYueG1sTI9B&#10;S8NAEIXvgv9hGcGb3W0pIcZsShH0IHiwFs/T7JhNmp0N2U0b/fVuQdDjvHnz5nvlZna9ONEYWs8a&#10;lgsFgrj2puVGw/796S4HESKywd4zafiiAJvq+qrEwvgzv9FpFxuRQjgUqMHGOBRShtqSw7DwA3Ha&#10;ffrRYUzj2Egz4jmFu16ulMqkw5bTB4sDPVqqj7vJJYwPmroO8+YVV8PL2Hbds8VvrW9v5u0DiEhz&#10;/DPDBT/dQJWYDn5iE0SvIc/WyZn0TGUgLoblWt2DOPxKsirl/w7VDwAAAP//AwBQSwECLQAUAAYA&#10;CAAAACEAtoM4kv4AAADhAQAAEwAAAAAAAAAAAAAAAAAAAAAAW0NvbnRlbnRfVHlwZXNdLnhtbFBL&#10;AQItABQABgAIAAAAIQA4/SH/1gAAAJQBAAALAAAAAAAAAAAAAAAAAC8BAABfcmVscy8ucmVsc1BL&#10;AQItABQABgAIAAAAIQD4qlJLIwIAAD0EAAAOAAAAAAAAAAAAAAAAAC4CAABkcnMvZTJvRG9jLnht&#10;bFBLAQItABQABgAIAAAAIQB9p+3n3QAAAAsBAAAPAAAAAAAAAAAAAAAAAH0EAABkcnMvZG93bnJl&#10;di54bWxQSwUGAAAAAAQABADzAAAAhwUAAAAA&#10;" strokecolor="#939598" strokeweight="4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C1"/>
    <w:multiLevelType w:val="hybridMultilevel"/>
    <w:tmpl w:val="7906803A"/>
    <w:lvl w:ilvl="0" w:tplc="4F607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3261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E"/>
    <w:rsid w:val="000004C1"/>
    <w:rsid w:val="000015A4"/>
    <w:rsid w:val="00010BC0"/>
    <w:rsid w:val="00017FA0"/>
    <w:rsid w:val="00044C38"/>
    <w:rsid w:val="00055188"/>
    <w:rsid w:val="00056F37"/>
    <w:rsid w:val="00057AF9"/>
    <w:rsid w:val="000664CB"/>
    <w:rsid w:val="00077B35"/>
    <w:rsid w:val="000B121B"/>
    <w:rsid w:val="000B4AAE"/>
    <w:rsid w:val="000C2DEF"/>
    <w:rsid w:val="000C7C92"/>
    <w:rsid w:val="000D0710"/>
    <w:rsid w:val="000D3B6D"/>
    <w:rsid w:val="000D7ED8"/>
    <w:rsid w:val="000F31EE"/>
    <w:rsid w:val="001031E1"/>
    <w:rsid w:val="00112A86"/>
    <w:rsid w:val="00113CCE"/>
    <w:rsid w:val="00120FB5"/>
    <w:rsid w:val="001250F6"/>
    <w:rsid w:val="0012758E"/>
    <w:rsid w:val="001349D5"/>
    <w:rsid w:val="001507DF"/>
    <w:rsid w:val="00160B33"/>
    <w:rsid w:val="00172E7D"/>
    <w:rsid w:val="00180DDA"/>
    <w:rsid w:val="001957EA"/>
    <w:rsid w:val="001A370C"/>
    <w:rsid w:val="001F65D6"/>
    <w:rsid w:val="00211268"/>
    <w:rsid w:val="00223791"/>
    <w:rsid w:val="002745ED"/>
    <w:rsid w:val="00281457"/>
    <w:rsid w:val="002839C2"/>
    <w:rsid w:val="002B06B4"/>
    <w:rsid w:val="002B3B1D"/>
    <w:rsid w:val="002B49A2"/>
    <w:rsid w:val="002D4A4A"/>
    <w:rsid w:val="002E7715"/>
    <w:rsid w:val="00327DB0"/>
    <w:rsid w:val="00335AC5"/>
    <w:rsid w:val="00343A87"/>
    <w:rsid w:val="003705B3"/>
    <w:rsid w:val="00377B19"/>
    <w:rsid w:val="00397CBB"/>
    <w:rsid w:val="00397CEF"/>
    <w:rsid w:val="003D7723"/>
    <w:rsid w:val="003F73DC"/>
    <w:rsid w:val="00412420"/>
    <w:rsid w:val="004416F3"/>
    <w:rsid w:val="0044661D"/>
    <w:rsid w:val="00447F92"/>
    <w:rsid w:val="0045093E"/>
    <w:rsid w:val="00461ACF"/>
    <w:rsid w:val="00471240"/>
    <w:rsid w:val="004971B9"/>
    <w:rsid w:val="004A2868"/>
    <w:rsid w:val="004B453C"/>
    <w:rsid w:val="004C5C4E"/>
    <w:rsid w:val="004D3683"/>
    <w:rsid w:val="00502443"/>
    <w:rsid w:val="00505032"/>
    <w:rsid w:val="005145D3"/>
    <w:rsid w:val="00537AA4"/>
    <w:rsid w:val="00547E8C"/>
    <w:rsid w:val="0056173D"/>
    <w:rsid w:val="005630E7"/>
    <w:rsid w:val="00573BD0"/>
    <w:rsid w:val="00574DDE"/>
    <w:rsid w:val="0057537C"/>
    <w:rsid w:val="00583C46"/>
    <w:rsid w:val="005930C5"/>
    <w:rsid w:val="005C49E7"/>
    <w:rsid w:val="005F709C"/>
    <w:rsid w:val="005F784D"/>
    <w:rsid w:val="006221E2"/>
    <w:rsid w:val="0062784C"/>
    <w:rsid w:val="006351D3"/>
    <w:rsid w:val="00647A67"/>
    <w:rsid w:val="00652AD1"/>
    <w:rsid w:val="00657A6E"/>
    <w:rsid w:val="00662E1C"/>
    <w:rsid w:val="00665343"/>
    <w:rsid w:val="0066715A"/>
    <w:rsid w:val="00674287"/>
    <w:rsid w:val="00675742"/>
    <w:rsid w:val="00680A17"/>
    <w:rsid w:val="006A3BBC"/>
    <w:rsid w:val="006D3690"/>
    <w:rsid w:val="007113F1"/>
    <w:rsid w:val="0071491A"/>
    <w:rsid w:val="00732E88"/>
    <w:rsid w:val="00751D2C"/>
    <w:rsid w:val="00775626"/>
    <w:rsid w:val="00777F1A"/>
    <w:rsid w:val="00786905"/>
    <w:rsid w:val="007D35CE"/>
    <w:rsid w:val="00801DCE"/>
    <w:rsid w:val="00830F6D"/>
    <w:rsid w:val="00842035"/>
    <w:rsid w:val="008433D6"/>
    <w:rsid w:val="00845390"/>
    <w:rsid w:val="0084542A"/>
    <w:rsid w:val="00845C83"/>
    <w:rsid w:val="00846C6B"/>
    <w:rsid w:val="00857899"/>
    <w:rsid w:val="008677AD"/>
    <w:rsid w:val="008903CF"/>
    <w:rsid w:val="00894681"/>
    <w:rsid w:val="00897EFB"/>
    <w:rsid w:val="008B0CD8"/>
    <w:rsid w:val="008C04FA"/>
    <w:rsid w:val="008D2128"/>
    <w:rsid w:val="008F13FB"/>
    <w:rsid w:val="008F59DC"/>
    <w:rsid w:val="009022A4"/>
    <w:rsid w:val="00915580"/>
    <w:rsid w:val="009518B6"/>
    <w:rsid w:val="009534EA"/>
    <w:rsid w:val="0095488A"/>
    <w:rsid w:val="009642C2"/>
    <w:rsid w:val="009A7434"/>
    <w:rsid w:val="009E167C"/>
    <w:rsid w:val="009F6A81"/>
    <w:rsid w:val="00A0552C"/>
    <w:rsid w:val="00A16119"/>
    <w:rsid w:val="00A17E6E"/>
    <w:rsid w:val="00A24FB7"/>
    <w:rsid w:val="00A2568E"/>
    <w:rsid w:val="00A2659F"/>
    <w:rsid w:val="00A30E36"/>
    <w:rsid w:val="00A4391B"/>
    <w:rsid w:val="00A64A2F"/>
    <w:rsid w:val="00A71716"/>
    <w:rsid w:val="00A900D6"/>
    <w:rsid w:val="00A94007"/>
    <w:rsid w:val="00A95A56"/>
    <w:rsid w:val="00AA6FA7"/>
    <w:rsid w:val="00AB3110"/>
    <w:rsid w:val="00AB616C"/>
    <w:rsid w:val="00AC74E5"/>
    <w:rsid w:val="00AD5D75"/>
    <w:rsid w:val="00AE44C3"/>
    <w:rsid w:val="00AE7EDA"/>
    <w:rsid w:val="00AF54F1"/>
    <w:rsid w:val="00AF5948"/>
    <w:rsid w:val="00B00155"/>
    <w:rsid w:val="00B0125C"/>
    <w:rsid w:val="00B077F1"/>
    <w:rsid w:val="00B26576"/>
    <w:rsid w:val="00B36C31"/>
    <w:rsid w:val="00B77AC4"/>
    <w:rsid w:val="00B83BF9"/>
    <w:rsid w:val="00B85ACC"/>
    <w:rsid w:val="00BA1570"/>
    <w:rsid w:val="00BA35FD"/>
    <w:rsid w:val="00BB2C39"/>
    <w:rsid w:val="00BE67F8"/>
    <w:rsid w:val="00BF39A9"/>
    <w:rsid w:val="00C1274E"/>
    <w:rsid w:val="00C644F3"/>
    <w:rsid w:val="00C76D04"/>
    <w:rsid w:val="00C808D8"/>
    <w:rsid w:val="00C87D74"/>
    <w:rsid w:val="00C94331"/>
    <w:rsid w:val="00C95651"/>
    <w:rsid w:val="00CA6E81"/>
    <w:rsid w:val="00CB18DE"/>
    <w:rsid w:val="00CB66A9"/>
    <w:rsid w:val="00CD6472"/>
    <w:rsid w:val="00CE49A3"/>
    <w:rsid w:val="00D0345C"/>
    <w:rsid w:val="00D03515"/>
    <w:rsid w:val="00D057E9"/>
    <w:rsid w:val="00D111F6"/>
    <w:rsid w:val="00D11817"/>
    <w:rsid w:val="00D479DE"/>
    <w:rsid w:val="00D51D6A"/>
    <w:rsid w:val="00D65E39"/>
    <w:rsid w:val="00D6702D"/>
    <w:rsid w:val="00D70FCD"/>
    <w:rsid w:val="00D7588D"/>
    <w:rsid w:val="00DA190B"/>
    <w:rsid w:val="00DA5CAB"/>
    <w:rsid w:val="00DB47F2"/>
    <w:rsid w:val="00DC4C0D"/>
    <w:rsid w:val="00DC5D78"/>
    <w:rsid w:val="00DD008F"/>
    <w:rsid w:val="00DE4C1D"/>
    <w:rsid w:val="00DF20B9"/>
    <w:rsid w:val="00E12A92"/>
    <w:rsid w:val="00E36280"/>
    <w:rsid w:val="00E5237E"/>
    <w:rsid w:val="00E75292"/>
    <w:rsid w:val="00E769A3"/>
    <w:rsid w:val="00E931E7"/>
    <w:rsid w:val="00EA5B49"/>
    <w:rsid w:val="00EB1C3B"/>
    <w:rsid w:val="00EC567A"/>
    <w:rsid w:val="00ED383B"/>
    <w:rsid w:val="00EF0301"/>
    <w:rsid w:val="00EF562E"/>
    <w:rsid w:val="00F035D0"/>
    <w:rsid w:val="00F05038"/>
    <w:rsid w:val="00F13899"/>
    <w:rsid w:val="00F30E05"/>
    <w:rsid w:val="00F57794"/>
    <w:rsid w:val="00F71CAF"/>
    <w:rsid w:val="00F969FC"/>
    <w:rsid w:val="00FA63C3"/>
    <w:rsid w:val="00FB630B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1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07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0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0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00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0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07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007"/>
    <w:rPr>
      <w:rFonts w:ascii="Verdana" w:eastAsiaTheme="majorEastAsia" w:hAnsi="Verdana" w:cstheme="majorBidi"/>
      <w:b/>
      <w:bCs/>
      <w:color w:val="C0000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007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007"/>
    <w:rPr>
      <w:rFonts w:ascii="Verdana" w:eastAsiaTheme="majorEastAsia" w:hAnsi="Verdana" w:cstheme="majorBidi"/>
      <w:b/>
      <w:bCs/>
      <w:color w:val="A6A6A6" w:themeColor="background1" w:themeShade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4007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D4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D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4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DE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479DE"/>
    <w:rPr>
      <w:rFonts w:ascii="Arial" w:hAnsi="Arial"/>
      <w:color w:val="C00000"/>
      <w:sz w:val="22"/>
      <w:u w:val="single"/>
    </w:rPr>
  </w:style>
  <w:style w:type="paragraph" w:styleId="Revision">
    <w:name w:val="Revision"/>
    <w:hidden/>
    <w:uiPriority w:val="99"/>
    <w:semiHidden/>
    <w:rsid w:val="00915580"/>
    <w:pPr>
      <w:spacing w:after="0" w:line="240" w:lineRule="auto"/>
    </w:pPr>
    <w:rPr>
      <w:rFonts w:ascii="Verdana" w:hAnsi="Verdana"/>
      <w:sz w:val="20"/>
    </w:rPr>
  </w:style>
  <w:style w:type="paragraph" w:customStyle="1" w:styleId="JatoHeaderPage1Red">
    <w:name w:val="Jato Header (Page 1 Red)"/>
    <w:basedOn w:val="Normal"/>
    <w:next w:val="Normal"/>
    <w:qFormat/>
    <w:rsid w:val="00915580"/>
    <w:pPr>
      <w:tabs>
        <w:tab w:val="center" w:pos="4513"/>
        <w:tab w:val="right" w:pos="9026"/>
      </w:tabs>
      <w:spacing w:after="0" w:line="520" w:lineRule="exact"/>
      <w:contextualSpacing/>
    </w:pPr>
    <w:rPr>
      <w:rFonts w:ascii="Arial" w:eastAsiaTheme="minorHAnsi" w:hAnsi="Arial" w:cs="Arial"/>
      <w:b/>
      <w:bCs/>
      <w:noProof/>
      <w:color w:val="C40005"/>
      <w:spacing w:val="-2"/>
      <w:sz w:val="56"/>
      <w:szCs w:val="56"/>
      <w:lang w:eastAsia="en-GB"/>
    </w:rPr>
  </w:style>
  <w:style w:type="paragraph" w:customStyle="1" w:styleId="ColorfulList-Accent11">
    <w:name w:val="Colorful List - Accent 11"/>
    <w:basedOn w:val="Normal"/>
    <w:qFormat/>
    <w:rsid w:val="0065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eleaseBodyText">
    <w:name w:val="Release Body Text"/>
    <w:basedOn w:val="Normal"/>
    <w:link w:val="ReleaseBodyTextChar"/>
    <w:qFormat/>
    <w:rsid w:val="00657A6E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2"/>
      <w:lang w:eastAsia="en-GB"/>
    </w:rPr>
  </w:style>
  <w:style w:type="character" w:customStyle="1" w:styleId="ReleaseBodyTextChar">
    <w:name w:val="Release Body Text Char"/>
    <w:basedOn w:val="DefaultParagraphFont"/>
    <w:link w:val="ReleaseBodyText"/>
    <w:rsid w:val="00657A6E"/>
    <w:rPr>
      <w:rFonts w:ascii="Arial" w:eastAsia="Times New Roman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1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1E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1E7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07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00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00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00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00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07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4007"/>
    <w:rPr>
      <w:rFonts w:ascii="Verdana" w:eastAsiaTheme="majorEastAsia" w:hAnsi="Verdana" w:cstheme="majorBidi"/>
      <w:b/>
      <w:bCs/>
      <w:color w:val="C0000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007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007"/>
    <w:rPr>
      <w:rFonts w:ascii="Verdana" w:eastAsiaTheme="majorEastAsia" w:hAnsi="Verdana" w:cstheme="majorBidi"/>
      <w:b/>
      <w:bCs/>
      <w:color w:val="A6A6A6" w:themeColor="background1" w:themeShade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4007"/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D4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D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4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DE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479DE"/>
    <w:rPr>
      <w:rFonts w:ascii="Arial" w:hAnsi="Arial"/>
      <w:color w:val="C00000"/>
      <w:sz w:val="22"/>
      <w:u w:val="single"/>
    </w:rPr>
  </w:style>
  <w:style w:type="paragraph" w:styleId="Revision">
    <w:name w:val="Revision"/>
    <w:hidden/>
    <w:uiPriority w:val="99"/>
    <w:semiHidden/>
    <w:rsid w:val="00915580"/>
    <w:pPr>
      <w:spacing w:after="0" w:line="240" w:lineRule="auto"/>
    </w:pPr>
    <w:rPr>
      <w:rFonts w:ascii="Verdana" w:hAnsi="Verdana"/>
      <w:sz w:val="20"/>
    </w:rPr>
  </w:style>
  <w:style w:type="paragraph" w:customStyle="1" w:styleId="JatoHeaderPage1Red">
    <w:name w:val="Jato Header (Page 1 Red)"/>
    <w:basedOn w:val="Normal"/>
    <w:next w:val="Normal"/>
    <w:qFormat/>
    <w:rsid w:val="00915580"/>
    <w:pPr>
      <w:tabs>
        <w:tab w:val="center" w:pos="4513"/>
        <w:tab w:val="right" w:pos="9026"/>
      </w:tabs>
      <w:spacing w:after="0" w:line="520" w:lineRule="exact"/>
      <w:contextualSpacing/>
    </w:pPr>
    <w:rPr>
      <w:rFonts w:ascii="Arial" w:eastAsiaTheme="minorHAnsi" w:hAnsi="Arial" w:cs="Arial"/>
      <w:b/>
      <w:bCs/>
      <w:noProof/>
      <w:color w:val="C40005"/>
      <w:spacing w:val="-2"/>
      <w:sz w:val="56"/>
      <w:szCs w:val="56"/>
      <w:lang w:eastAsia="en-GB"/>
    </w:rPr>
  </w:style>
  <w:style w:type="paragraph" w:customStyle="1" w:styleId="ColorfulList-Accent11">
    <w:name w:val="Colorful List - Accent 11"/>
    <w:basedOn w:val="Normal"/>
    <w:qFormat/>
    <w:rsid w:val="0065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eleaseBodyText">
    <w:name w:val="Release Body Text"/>
    <w:basedOn w:val="Normal"/>
    <w:link w:val="ReleaseBodyTextChar"/>
    <w:qFormat/>
    <w:rsid w:val="00657A6E"/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2"/>
      <w:lang w:eastAsia="en-GB"/>
    </w:rPr>
  </w:style>
  <w:style w:type="character" w:customStyle="1" w:styleId="ReleaseBodyTextChar">
    <w:name w:val="Release Body Text Char"/>
    <w:basedOn w:val="DefaultParagraphFont"/>
    <w:link w:val="ReleaseBodyText"/>
    <w:rsid w:val="00657A6E"/>
    <w:rPr>
      <w:rFonts w:ascii="Arial" w:eastAsia="Times New Roman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1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1E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1E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atoteam@firstlightpr.com" TargetMode="External"/><Relationship Id="rId11" Type="http://schemas.openxmlformats.org/officeDocument/2006/relationships/hyperlink" Target="http://www.jato.com/" TargetMode="External"/><Relationship Id="rId12" Type="http://schemas.openxmlformats.org/officeDocument/2006/relationships/hyperlink" Target="http://www.linkedin.com/company/jato-dynamics" TargetMode="External"/><Relationship Id="rId13" Type="http://schemas.openxmlformats.org/officeDocument/2006/relationships/hyperlink" Target="https://twitter.com/jato_dynamics" TargetMode="External"/><Relationship Id="rId14" Type="http://schemas.openxmlformats.org/officeDocument/2006/relationships/hyperlink" Target="mailto:jatoteam@firstlightpr.com" TargetMode="External"/><Relationship Id="rId15" Type="http://schemas.openxmlformats.org/officeDocument/2006/relationships/hyperlink" Target="mailto:pr@jato.com" TargetMode="External"/><Relationship Id="rId16" Type="http://schemas.openxmlformats.org/officeDocument/2006/relationships/hyperlink" Target="http://www.linkedin.com/company/jato-dynamics" TargetMode="External"/><Relationship Id="rId17" Type="http://schemas.openxmlformats.org/officeDocument/2006/relationships/hyperlink" Target="https://twitter.com/jato_dynamics" TargetMode="External"/><Relationship Id="rId18" Type="http://schemas.openxmlformats.org/officeDocument/2006/relationships/hyperlink" Target="https://twitter.com/jato_dynamics" TargetMode="External"/><Relationship Id="rId19" Type="http://schemas.openxmlformats.org/officeDocument/2006/relationships/hyperlink" Target="http://www.jato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tna.wagjiani\AppData\Local\Temp\Rar$DI00.386\Europe%20Provisional%20Car%20Volumes%20working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Sheet4!$A$7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Sheet4!$B$3:$M$3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Sheet4!$B$7:$M$7</c:f>
              <c:numCache>
                <c:formatCode>#,##0</c:formatCode>
                <c:ptCount val="12"/>
                <c:pt idx="0">
                  <c:v>1.030345E6</c:v>
                </c:pt>
                <c:pt idx="1">
                  <c:v>956685.0</c:v>
                </c:pt>
                <c:pt idx="2">
                  <c:v>1.652483E6</c:v>
                </c:pt>
                <c:pt idx="3">
                  <c:v>1.21042E6</c:v>
                </c:pt>
                <c:pt idx="4">
                  <c:v>1.151955E6</c:v>
                </c:pt>
                <c:pt idx="5">
                  <c:v>1.412272E6</c:v>
                </c:pt>
                <c:pt idx="6">
                  <c:v>1.181368E6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Sheet4!$A$6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strRef>
              <c:f>Sheet4!$B$3:$M$3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Sheet4!$B$6:$M$6</c:f>
              <c:numCache>
                <c:formatCode>#,##0</c:formatCode>
                <c:ptCount val="12"/>
                <c:pt idx="0">
                  <c:v>966749.0</c:v>
                </c:pt>
                <c:pt idx="1">
                  <c:v>887116.0</c:v>
                </c:pt>
                <c:pt idx="2">
                  <c:v>1.480138E6</c:v>
                </c:pt>
                <c:pt idx="3">
                  <c:v>1.132593E6</c:v>
                </c:pt>
                <c:pt idx="4">
                  <c:v>1.135611E6</c:v>
                </c:pt>
                <c:pt idx="5">
                  <c:v>1.231963E6</c:v>
                </c:pt>
                <c:pt idx="6">
                  <c:v>1.082942E6</c:v>
                </c:pt>
                <c:pt idx="7">
                  <c:v>701898.0</c:v>
                </c:pt>
                <c:pt idx="8">
                  <c:v>1.271134E6</c:v>
                </c:pt>
                <c:pt idx="9">
                  <c:v>1.118016E6</c:v>
                </c:pt>
                <c:pt idx="10">
                  <c:v>991099.0</c:v>
                </c:pt>
                <c:pt idx="11">
                  <c:v>999516.0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268456"/>
        <c:axId val="2131078216"/>
      </c:lineChart>
      <c:catAx>
        <c:axId val="2131268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131078216"/>
        <c:crosses val="autoZero"/>
        <c:auto val="1"/>
        <c:lblAlgn val="ctr"/>
        <c:lblOffset val="100"/>
        <c:noMultiLvlLbl val="0"/>
      </c:catAx>
      <c:valAx>
        <c:axId val="2131078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31268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898680934114"/>
          <c:y val="0.831688780781548"/>
          <c:w val="0.150358536913655"/>
          <c:h val="0.0810744902651838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B196-9FD9-BD4D-A2E7-6BCC650F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1292</Words>
  <Characters>7369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JATO Dynamics Ltd.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Hill</dc:creator>
  <cp:lastModifiedBy>Ben Honan</cp:lastModifiedBy>
  <cp:revision>28</cp:revision>
  <cp:lastPrinted>2015-08-17T09:32:00Z</cp:lastPrinted>
  <dcterms:created xsi:type="dcterms:W3CDTF">2015-08-19T10:43:00Z</dcterms:created>
  <dcterms:modified xsi:type="dcterms:W3CDTF">2015-08-20T07:53:00Z</dcterms:modified>
</cp:coreProperties>
</file>